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B82" w:rsidRPr="00A837A6" w:rsidRDefault="003C1B82" w:rsidP="00A837A6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837A6">
        <w:rPr>
          <w:rFonts w:ascii="Times New Roman" w:eastAsia="Calibri" w:hAnsi="Times New Roman" w:cs="Times New Roman"/>
          <w:sz w:val="28"/>
          <w:szCs w:val="28"/>
          <w:lang w:val="ru-RU"/>
        </w:rPr>
        <w:t>ДОВІДКОВИЙ МАТЕРІАЛ</w:t>
      </w:r>
    </w:p>
    <w:p w:rsidR="003C1B82" w:rsidRPr="00A837A6" w:rsidRDefault="003C1B82" w:rsidP="00A837A6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837A6">
        <w:rPr>
          <w:rFonts w:ascii="Times New Roman" w:eastAsia="Calibri" w:hAnsi="Times New Roman" w:cs="Times New Roman"/>
          <w:sz w:val="28"/>
          <w:szCs w:val="28"/>
          <w:lang w:val="ru-RU"/>
        </w:rPr>
        <w:t>ДО ОПЕРАЦІЙНОЇ КАРТКИ №1.1</w:t>
      </w:r>
    </w:p>
    <w:p w:rsidR="003C1B82" w:rsidRPr="00A837A6" w:rsidRDefault="003C1B82" w:rsidP="00A837A6">
      <w:pPr>
        <w:spacing w:line="254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A837A6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для проведення заняття з домедичної допомоги</w:t>
      </w:r>
    </w:p>
    <w:p w:rsidR="003C1B82" w:rsidRPr="00A837A6" w:rsidRDefault="003C1B82" w:rsidP="00A837A6">
      <w:pPr>
        <w:spacing w:line="254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A837A6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(БЗВП)</w:t>
      </w:r>
    </w:p>
    <w:p w:rsidR="003C1B82" w:rsidRPr="00A837A6" w:rsidRDefault="003C1B82" w:rsidP="00A837A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1B82" w:rsidRPr="00B122B8" w:rsidRDefault="00B122B8" w:rsidP="00B122B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  <w:lang w:val="uk-UA"/>
        </w:rPr>
        <w:t>Навчальне питання</w:t>
      </w:r>
      <w:r w:rsidR="003C1B82" w:rsidRPr="00A837A6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 xml:space="preserve"> 1:</w:t>
      </w:r>
      <w:r w:rsidR="003C1B82" w:rsidRPr="00A837A6">
        <w:rPr>
          <w:rFonts w:ascii="Times New Roman" w:hAnsi="Times New Roman" w:cs="Times New Roman"/>
          <w:i/>
          <w:spacing w:val="-8"/>
          <w:sz w:val="28"/>
          <w:szCs w:val="28"/>
          <w:lang w:val="ru-RU"/>
        </w:rPr>
        <w:t xml:space="preserve"> </w:t>
      </w:r>
      <w:r w:rsidR="003C1B82" w:rsidRPr="00A837A6">
        <w:rPr>
          <w:rFonts w:ascii="Times New Roman" w:hAnsi="Times New Roman" w:cs="Times New Roman"/>
          <w:sz w:val="28"/>
          <w:szCs w:val="28"/>
          <w:lang w:val="ru-RU"/>
        </w:rPr>
        <w:t>Загальні принципи домедичної допомоги в умовах бойових дій</w:t>
      </w:r>
    </w:p>
    <w:p w:rsidR="003C1B82" w:rsidRPr="00FE197A" w:rsidRDefault="003C1B82" w:rsidP="00FE197A">
      <w:pPr>
        <w:numPr>
          <w:ilvl w:val="1"/>
          <w:numId w:val="1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7A6">
        <w:rPr>
          <w:rFonts w:ascii="Times New Roman" w:hAnsi="Times New Roman" w:cs="Times New Roman"/>
          <w:b/>
          <w:sz w:val="28"/>
          <w:szCs w:val="28"/>
        </w:rPr>
        <w:t>Поняття домедичної допомоги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37A6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Тактична медицина</w:t>
      </w:r>
      <w:r w:rsidRPr="00A837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– це надання медичної допомоги під час військових дій.</w:t>
      </w:r>
      <w:r w:rsidRPr="00A837A6">
        <w:rPr>
          <w:rFonts w:ascii="Times New Roman" w:hAnsi="Times New Roman" w:cs="Times New Roman"/>
          <w:sz w:val="28"/>
          <w:szCs w:val="28"/>
        </w:rPr>
        <w:t> Тактична медицина враховує той факт, що місце і обставини в яких надається допомога під час бойових дій, принципово відмінні від звичних лікарень або салону автомобілю швидкої допомоги.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Ранній початок домедичної допомоги </w:t>
      </w:r>
      <w:r w:rsidR="00FE197A"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є </w:t>
      </w:r>
      <w:r w:rsidR="00FE197A" w:rsidRPr="00A837A6">
        <w:rPr>
          <w:rFonts w:ascii="Times New Roman" w:hAnsi="Times New Roman" w:cs="Times New Roman"/>
          <w:sz w:val="28"/>
          <w:szCs w:val="28"/>
        </w:rPr>
        <w:t>фактором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, який значно покращує шанси на виживання та відновлення функцій у пораненого. Тому існує </w:t>
      </w:r>
      <w:r w:rsidR="00FE197A"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поняття </w:t>
      </w:r>
      <w:r w:rsidR="00FE197A" w:rsidRPr="00A837A6">
        <w:rPr>
          <w:rFonts w:ascii="Times New Roman" w:hAnsi="Times New Roman" w:cs="Times New Roman"/>
          <w:sz w:val="28"/>
          <w:szCs w:val="28"/>
        </w:rPr>
        <w:t>“</w:t>
      </w:r>
      <w:r w:rsidRPr="00A837A6">
        <w:rPr>
          <w:rFonts w:ascii="Times New Roman" w:hAnsi="Times New Roman" w:cs="Times New Roman"/>
          <w:iCs/>
          <w:sz w:val="28"/>
          <w:szCs w:val="28"/>
          <w:lang w:val="ru-RU"/>
        </w:rPr>
        <w:t>золотої години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”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перша година після поранення, протягом якої повинно розпочатись надання кваліфікованої домедичної допомоги.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Кожний військовослужбовець будь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якої сучасної армії, крім майстерного володіння озброєнням, фізичної та тактичної підготовки, досконало володіє прийомами надання медичної допомоги в бойових умовах. Військовослужбовець, який не володіє знаннями з тактичної </w:t>
      </w:r>
      <w:r w:rsidR="00FE197A"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медицини </w:t>
      </w:r>
      <w:r w:rsidR="00FE197A" w:rsidRPr="00A837A6">
        <w:rPr>
          <w:rFonts w:ascii="Times New Roman" w:hAnsi="Times New Roman" w:cs="Times New Roman"/>
          <w:sz w:val="28"/>
          <w:szCs w:val="28"/>
        </w:rPr>
        <w:t>є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небезпечним сам для себе та своїх товаришів.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Розділ тактичної медицини розрахований на навчання базових навичок для надання само- та взаємодопомоги в умовах бойових дій. 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Домедична допомога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це невідкладні дії та організаційні заходи, спрямовані на врятування та збереження життя людини у невідкладному стані та мінімізацію наслідків впливу такого стану на її здоров’я, що здійснюються на полі бою військовослужбовцями або санітарними інструкторами.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Надання домедичної допомоги на полі бою є дуже важливою, оскільки вона надається у період найбільш важливого часу, щоб допомогти за будь-якої бойової травми. 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Доля поранених часто залежить від особи, яка буде першою надавати домедичну допомогу.  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1B82" w:rsidRPr="00FE197A" w:rsidRDefault="003C1B82" w:rsidP="00FE197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lastRenderedPageBreak/>
        <w:t>1.1.1. Заходи домедичної допомоги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До основних заходів домедичної підготовки відносяться: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а)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витягування поранених (уражених) із автомобільної та іншої техніки, із під завалів та з інших найрізноманітніших місць їх перебування, включаючи витягування із води;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б)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гасіння палаючого одягу (засобів захисту шкіри) та запалювальних сумішей, що горять на тілі;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в)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одягання протигаза і засобів захисту шкіри на зараженій отруйними речовинами місцевості та введення антидоту (протиотрути);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г)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47C" w:rsidRPr="00A837A6">
        <w:rPr>
          <w:rFonts w:ascii="Times New Roman" w:hAnsi="Times New Roman" w:cs="Times New Roman"/>
          <w:sz w:val="28"/>
          <w:szCs w:val="28"/>
          <w:lang w:val="ru-RU"/>
        </w:rPr>
        <w:t>припинення кровотечі різними методами</w:t>
      </w:r>
      <w:r w:rsidR="00E4147C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E4147C"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д)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47C" w:rsidRPr="00A837A6">
        <w:rPr>
          <w:rFonts w:ascii="Times New Roman" w:hAnsi="Times New Roman" w:cs="Times New Roman"/>
          <w:sz w:val="28"/>
          <w:szCs w:val="28"/>
          <w:lang w:val="ru-RU"/>
        </w:rPr>
        <w:t>усунення асфіксії (очищення верхніх дихальних шляхів від сторонніх речовин, вибитих зубів, слизу, крові, виливання води, утримання язика за допомогою серветки при його западанні тощо);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е)</w:t>
      </w:r>
      <w:r w:rsidR="00E4147C" w:rsidRPr="00E414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47C" w:rsidRPr="00A837A6">
        <w:rPr>
          <w:rFonts w:ascii="Times New Roman" w:hAnsi="Times New Roman" w:cs="Times New Roman"/>
          <w:sz w:val="28"/>
          <w:szCs w:val="28"/>
          <w:lang w:val="ru-RU"/>
        </w:rPr>
        <w:t>звільнення від стискаючих частин одягу (розстібання коміра, бюстгальтера, пояса);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ж</w:t>
      </w:r>
      <w:r w:rsidR="00E4147C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="00E4147C" w:rsidRPr="00E414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47C" w:rsidRPr="00A837A6">
        <w:rPr>
          <w:rFonts w:ascii="Times New Roman" w:hAnsi="Times New Roman" w:cs="Times New Roman"/>
          <w:sz w:val="28"/>
          <w:szCs w:val="28"/>
          <w:lang w:val="ru-RU"/>
        </w:rPr>
        <w:t>проведення штучного дихання і закритого масажу серця при відсутності серцевої діяльності і дихання</w:t>
      </w:r>
      <w:r w:rsidR="00E414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и)</w:t>
      </w:r>
      <w:r w:rsidR="00E4147C" w:rsidRPr="00E414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47C" w:rsidRPr="00A837A6">
        <w:rPr>
          <w:rFonts w:ascii="Times New Roman" w:hAnsi="Times New Roman" w:cs="Times New Roman"/>
          <w:sz w:val="28"/>
          <w:szCs w:val="28"/>
          <w:lang w:val="ru-RU"/>
        </w:rPr>
        <w:t>накладання оклюзійної пов'язки (такої, яка герметизує) на грудну клітку при відкритому пневмотораксі (проникаючій травмі грудної клітки) з використанням поліетиленової плівки або прогумованої оболонки від пакета перев'язувального індивідуального</w:t>
      </w:r>
      <w:r w:rsidR="00E4147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к)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накладання асептичної пов'язки на рану або опікову поверхню;</w:t>
      </w:r>
    </w:p>
    <w:p w:rsidR="003C1B82" w:rsidRPr="00A837A6" w:rsidRDefault="003C1B82" w:rsidP="00A837A6">
      <w:pPr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л)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F47A4">
        <w:rPr>
          <w:rFonts w:ascii="Times New Roman" w:hAnsi="Times New Roman" w:cs="Times New Roman"/>
          <w:sz w:val="28"/>
          <w:szCs w:val="28"/>
          <w:lang w:val="ru-RU"/>
        </w:rPr>
        <w:t>використання бойового набору пігулок з АМЗІ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м)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іммобілізація кінцівок та інших ділянок тіла, що були ушкоджені (переломи, рани та опіки), за допомогою підручних засобів та іншими способами (при умові необхідності Вам особисто транспортувати постраждалого в лікувальну установу);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н)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 надання</w:t>
      </w:r>
      <w:proofErr w:type="gramEnd"/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тілу постраждалого фізіологічно вигідного положення;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п)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зігрівання постраждалого; напування його водою або лужно-сольовим розчином;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р)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постійний контакт з постраждалим, переконання його в успішності порятунку;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F47A4">
        <w:rPr>
          <w:rFonts w:ascii="Times New Roman" w:hAnsi="Times New Roman" w:cs="Times New Roman"/>
          <w:sz w:val="28"/>
          <w:szCs w:val="28"/>
          <w:lang w:val="ru-RU"/>
        </w:rPr>
        <w:t>евакуація пораненого та супровід до надання медичної допомоги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C1B82" w:rsidRPr="00A837A6" w:rsidRDefault="003C1B82" w:rsidP="00A837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1B82" w:rsidRPr="00A837A6" w:rsidRDefault="003C1B82" w:rsidP="00FE197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1.2. Основні причини смертей</w:t>
      </w:r>
    </w:p>
    <w:p w:rsidR="003C1B82" w:rsidRPr="00A837A6" w:rsidRDefault="003C1B82" w:rsidP="00A837A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Близько 90% смертей в умовах бою відбуваються до того, як поранені дістануться медичної установи. Більшість з цих ушкоджень несумісні з життям. Проте негайна допомога при деяких станах, таких як кровотеча з рани на руці або нозі, напружений пневмоторакс або проблеми з дихальними шляхами може врятувати життя людини. </w:t>
      </w:r>
    </w:p>
    <w:p w:rsidR="003C1B82" w:rsidRPr="00A837A6" w:rsidRDefault="003C1B82" w:rsidP="00A837A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Під час виконання бойових завдань на полі бою у випадках, коли військовослужбовець отримує поранення, обмежуються час надання </w:t>
      </w:r>
      <w:proofErr w:type="gramStart"/>
      <w:r w:rsidRPr="00A837A6">
        <w:rPr>
          <w:rFonts w:ascii="Times New Roman" w:hAnsi="Times New Roman" w:cs="Times New Roman"/>
          <w:sz w:val="28"/>
          <w:szCs w:val="28"/>
          <w:lang w:val="ru-RU"/>
        </w:rPr>
        <w:t>домедичної  допомоги</w:t>
      </w:r>
      <w:proofErr w:type="gramEnd"/>
      <w:r w:rsidRPr="00A837A6">
        <w:rPr>
          <w:rFonts w:ascii="Times New Roman" w:hAnsi="Times New Roman" w:cs="Times New Roman"/>
          <w:sz w:val="28"/>
          <w:szCs w:val="28"/>
          <w:lang w:val="ru-RU"/>
        </w:rPr>
        <w:t>, тому необхідно правильно реагувати, виявляти та надавати домедичну допомогу з метою уникнення наслідків, які приводять до загибелі особового складу :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а)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кровотечі з магістральних судин кінцівок (стегнова, плечова) поранений гине до 2 хв. (локалізація рани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ділянка плеча (пахвова ямка) або стегна (пахова ділянка)), причина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швидка втрата значної кількості крові;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б)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кровотечі із судин шиї (сонна артерія, яремна вена) смерть настає теж до 2 хв. (локалізація рани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ділянка шиї), причина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швидка втрата значної кількості крові, засмоктування повітря в крупні вени і закупорення ним судин;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в)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кровотечі із судин голови поранений може загинути від декількох секунд до однієї години (локалізація рани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волосиста частина голови), причина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швидка втрата значної кількості крові, засмоктування повітря в крупні вени і закупорка ним судин;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г)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зовнішній артеріальній кровотечі з ран передпліччя, гомілки чи тулуба смерть може настати до однієї години, причина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швидка втрата значної кількості крові, розвиток шоку;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д)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виникненні непрохідності верхніх дихальних шляхів через западання язика </w:t>
      </w:r>
      <w:proofErr w:type="gramStart"/>
      <w:r w:rsidRPr="00A837A6">
        <w:rPr>
          <w:rFonts w:ascii="Times New Roman" w:hAnsi="Times New Roman" w:cs="Times New Roman"/>
          <w:sz w:val="28"/>
          <w:szCs w:val="28"/>
          <w:lang w:val="ru-RU"/>
        </w:rPr>
        <w:t>за умов</w:t>
      </w:r>
      <w:proofErr w:type="gramEnd"/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втрати свідомості (травма голови, шок) в положенні на спині поранений гине до 5 хв., причина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зупинка серця внаслідок недостатнього надходження кисню;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е)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раптовій зупинці серця внаслідок ударної хвилі, закритої травми грудної клітки, сильного стресу смерть настає через 5 хв., причини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зупинка діяльності серця і, як результат, припинення транспортування кисню до 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lastRenderedPageBreak/>
        <w:t>клітин;</w:t>
      </w:r>
    </w:p>
    <w:p w:rsidR="003C1B82" w:rsidRPr="00A837A6" w:rsidRDefault="003C1B82" w:rsidP="00A837A6">
      <w:pPr>
        <w:widowControl w:val="0"/>
        <w:tabs>
          <w:tab w:val="left" w:pos="1134"/>
          <w:tab w:val="num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ж)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при проникному пораненні грудної клітки смерть настає до однієї години (локалізація рани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ділянка грудної клітки), причини смерті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виключення легені з боку поранення з акту дихання, втрата значної кількості крові.</w:t>
      </w:r>
    </w:p>
    <w:p w:rsidR="003C1B82" w:rsidRPr="00A837A6" w:rsidRDefault="003C1B82" w:rsidP="00A837A6">
      <w:pPr>
        <w:pStyle w:val="a3"/>
        <w:tabs>
          <w:tab w:val="left" w:pos="1134"/>
        </w:tabs>
        <w:autoSpaceDE w:val="0"/>
        <w:autoSpaceDN w:val="0"/>
        <w:adjustRightInd w:val="0"/>
        <w:ind w:left="0"/>
        <w:jc w:val="both"/>
        <w:rPr>
          <w:b/>
          <w:bCs/>
          <w:sz w:val="28"/>
          <w:szCs w:val="28"/>
        </w:rPr>
      </w:pPr>
    </w:p>
    <w:p w:rsidR="003C1B82" w:rsidRPr="00A837A6" w:rsidRDefault="003C1B82" w:rsidP="00FE197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 w:rsidR="00AF47A4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Основні етапи надання домедичної </w:t>
      </w:r>
      <w:r w:rsidR="00FE197A">
        <w:rPr>
          <w:rFonts w:ascii="Times New Roman" w:hAnsi="Times New Roman" w:cs="Times New Roman"/>
          <w:b/>
          <w:sz w:val="28"/>
          <w:szCs w:val="28"/>
          <w:lang w:val="ru-RU"/>
        </w:rPr>
        <w:t>допомоги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умовах бойових дій</w:t>
      </w:r>
    </w:p>
    <w:p w:rsidR="003C1B82" w:rsidRPr="00A837A6" w:rsidRDefault="003C1B82" w:rsidP="00FE197A">
      <w:pPr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AF47A4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.1. Етапи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надання допомоги пораненим у військово-польових умовах:</w:t>
      </w:r>
    </w:p>
    <w:p w:rsidR="003C1B82" w:rsidRPr="00A837A6" w:rsidRDefault="003C1B82" w:rsidP="00A837A6">
      <w:pPr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Виділяють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три етапи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надання допомоги пораненим у військово-польових умовах:</w:t>
      </w:r>
    </w:p>
    <w:p w:rsidR="003C1B82" w:rsidRPr="00A837A6" w:rsidRDefault="003C1B82" w:rsidP="00A837A6">
      <w:pPr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а)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Перший етап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допомога в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“червоній зоні”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(англ.</w:t>
      </w:r>
      <w:r w:rsidRPr="00A837A6">
        <w:rPr>
          <w:rFonts w:ascii="Times New Roman" w:hAnsi="Times New Roman" w:cs="Times New Roman"/>
          <w:sz w:val="28"/>
          <w:szCs w:val="28"/>
        </w:rPr>
        <w:t> Care Under Fire </w:t>
      </w:r>
      <w:r w:rsidRPr="00A837A6">
        <w:rPr>
          <w:rFonts w:ascii="Times New Roman" w:hAnsi="Times New Roman" w:cs="Times New Roman"/>
          <w:b/>
          <w:sz w:val="28"/>
          <w:szCs w:val="28"/>
        </w:rPr>
        <w:t>-</w:t>
      </w:r>
      <w:r w:rsidRPr="00A837A6">
        <w:rPr>
          <w:rFonts w:ascii="Times New Roman" w:hAnsi="Times New Roman" w:cs="Times New Roman"/>
          <w:sz w:val="28"/>
          <w:szCs w:val="28"/>
        </w:rPr>
        <w:t xml:space="preserve"> що означає “надання допомоги під вогнем”, або “ надання допомоги в зоні обстрілу);</w:t>
      </w:r>
    </w:p>
    <w:p w:rsidR="003C1B82" w:rsidRPr="00A837A6" w:rsidRDefault="003C1B82" w:rsidP="00A837A6">
      <w:pPr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б)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Другий етап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допомога в “жовтій зоні”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(англ.</w:t>
      </w:r>
      <w:r w:rsidRPr="00A837A6">
        <w:rPr>
          <w:rFonts w:ascii="Times New Roman" w:hAnsi="Times New Roman" w:cs="Times New Roman"/>
          <w:sz w:val="28"/>
          <w:szCs w:val="28"/>
        </w:rPr>
        <w:t> Tactical Field Care </w:t>
      </w:r>
      <w:r w:rsidRPr="00A837A6">
        <w:rPr>
          <w:rFonts w:ascii="Times New Roman" w:hAnsi="Times New Roman" w:cs="Times New Roman"/>
          <w:b/>
          <w:sz w:val="28"/>
          <w:szCs w:val="28"/>
        </w:rPr>
        <w:t>-</w:t>
      </w:r>
      <w:r w:rsidRPr="00A837A6">
        <w:rPr>
          <w:rFonts w:ascii="Times New Roman" w:hAnsi="Times New Roman" w:cs="Times New Roman"/>
          <w:sz w:val="28"/>
          <w:szCs w:val="28"/>
        </w:rPr>
        <w:t xml:space="preserve"> що означає “надання допомоги на полі бою” або “надання допомоги в зоні укриття”);</w:t>
      </w:r>
    </w:p>
    <w:p w:rsidR="003C1B82" w:rsidRPr="00A837A6" w:rsidRDefault="003C1B82" w:rsidP="00A837A6">
      <w:pPr>
        <w:spacing w:line="276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37A6">
        <w:rPr>
          <w:rFonts w:ascii="Times New Roman" w:hAnsi="Times New Roman" w:cs="Times New Roman"/>
          <w:b/>
          <w:sz w:val="28"/>
          <w:szCs w:val="28"/>
        </w:rPr>
        <w:t>в)</w:t>
      </w:r>
      <w:r w:rsidRPr="00A837A6">
        <w:rPr>
          <w:rFonts w:ascii="Times New Roman" w:hAnsi="Times New Roman" w:cs="Times New Roman"/>
          <w:sz w:val="28"/>
          <w:szCs w:val="28"/>
        </w:rPr>
        <w:t xml:space="preserve"> Третій етап </w:t>
      </w:r>
      <w:r w:rsidRPr="00A837A6">
        <w:rPr>
          <w:rFonts w:ascii="Times New Roman" w:hAnsi="Times New Roman" w:cs="Times New Roman"/>
          <w:b/>
          <w:sz w:val="28"/>
          <w:szCs w:val="28"/>
        </w:rPr>
        <w:t>-</w:t>
      </w:r>
      <w:r w:rsidRPr="00A837A6">
        <w:rPr>
          <w:rFonts w:ascii="Times New Roman" w:hAnsi="Times New Roman" w:cs="Times New Roman"/>
          <w:sz w:val="28"/>
          <w:szCs w:val="28"/>
        </w:rPr>
        <w:t xml:space="preserve"> надання допомоги під час тактичної евакуації з поля бою в медичні заклади «зеленої зони» – мобільні польові госпіталі, військові чи цивільні шпиталі, спеціалізовані клініки (англ. Tactical Evacuation Care).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B82" w:rsidRPr="00FE197A" w:rsidRDefault="003C1B82" w:rsidP="00FE197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37A6">
        <w:rPr>
          <w:rFonts w:ascii="Times New Roman" w:hAnsi="Times New Roman" w:cs="Times New Roman"/>
          <w:bCs/>
          <w:sz w:val="28"/>
          <w:szCs w:val="28"/>
        </w:rPr>
        <w:t>1.</w:t>
      </w:r>
      <w:r w:rsidR="00AF47A4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A837A6">
        <w:rPr>
          <w:rFonts w:ascii="Times New Roman" w:hAnsi="Times New Roman" w:cs="Times New Roman"/>
          <w:bCs/>
          <w:sz w:val="28"/>
          <w:szCs w:val="28"/>
        </w:rPr>
        <w:t>.2. Перший етап. Надання допомоги “під вогнем”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</w:rPr>
        <w:t xml:space="preserve">Перший етап </w:t>
      </w:r>
      <w:r w:rsidRPr="00A837A6">
        <w:rPr>
          <w:rFonts w:ascii="Times New Roman" w:hAnsi="Times New Roman" w:cs="Times New Roman"/>
          <w:b/>
          <w:sz w:val="28"/>
          <w:szCs w:val="28"/>
        </w:rPr>
        <w:t>-</w:t>
      </w:r>
      <w:r w:rsidRPr="00A837A6">
        <w:rPr>
          <w:rFonts w:ascii="Times New Roman" w:hAnsi="Times New Roman" w:cs="Times New Roman"/>
          <w:sz w:val="28"/>
          <w:szCs w:val="28"/>
        </w:rPr>
        <w:t xml:space="preserve"> при наданні допомоги в “червоній зоні” рятувальник знаходиться під вогнем супротивника, що значно обмежує допомогу, яку він може надати. 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Допомога переважно складається з використання джгута і якнайшвидшого переміщення потерпілих у безпечне місце.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Першим пріоритетом на полі бою є ведення вогню у відповідь і відбивання ворогів, тому головні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цілі під час надання допомоги пораненим в зоні обстрілу: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а)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виконати бойове завдання;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б)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запобігти більшій кількості отримання поранень;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в)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зберегти життя пораненого.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Після завершення етапу надання медичної допомоги в умовах обстрілу надається медична допомога в “зоні укриття”.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C1B82" w:rsidRPr="00A837A6" w:rsidRDefault="003C1B82" w:rsidP="0009498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1.</w:t>
      </w:r>
      <w:r w:rsidR="00AF47A4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>.3. Другий етап.</w:t>
      </w:r>
      <w:r w:rsidRPr="00A837A6">
        <w:rPr>
          <w:rFonts w:ascii="Times New Roman" w:hAnsi="Times New Roman" w:cs="Times New Roman"/>
          <w:bCs/>
          <w:sz w:val="28"/>
          <w:szCs w:val="28"/>
        </w:rPr>
        <w:t> </w:t>
      </w: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Надання медичної допомоги 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в “зоні укриття”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Другий етап надання медичної допомоги починається в умовах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після того, як рятувальник і поранений більше не знаходяться під прямим вогнем противника. На цьому етапі є більше часу для надання допомоги. 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Під час надання 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допомоги в “зоні укриття” </w:t>
      </w:r>
      <w:proofErr w:type="gramStart"/>
      <w:r w:rsidRPr="0009498C">
        <w:rPr>
          <w:rFonts w:ascii="Times New Roman" w:hAnsi="Times New Roman" w:cs="Times New Roman"/>
          <w:sz w:val="28"/>
          <w:szCs w:val="28"/>
          <w:lang w:val="ru-RU"/>
        </w:rPr>
        <w:t>в першу</w:t>
      </w:r>
      <w:proofErr w:type="gramEnd"/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чергу повинні оцінити стан пораненого по протоколу </w:t>
      </w:r>
      <w:r w:rsidR="00FE197A" w:rsidRPr="0009498C">
        <w:rPr>
          <w:rFonts w:ascii="Times New Roman" w:hAnsi="Times New Roman" w:cs="Times New Roman"/>
          <w:sz w:val="28"/>
          <w:szCs w:val="28"/>
        </w:rPr>
        <w:t>MARCH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FE197A" w:rsidRPr="0009498C">
        <w:rPr>
          <w:rFonts w:ascii="Times New Roman" w:hAnsi="Times New Roman" w:cs="Times New Roman"/>
          <w:sz w:val="28"/>
          <w:szCs w:val="28"/>
        </w:rPr>
        <w:t>M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 w:rsidRPr="0009498C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 w:rsidRPr="0009498C">
        <w:rPr>
          <w:rFonts w:ascii="Times New Roman" w:hAnsi="Times New Roman" w:cs="Times New Roman"/>
          <w:sz w:val="28"/>
          <w:szCs w:val="28"/>
          <w:lang w:val="uk-UA"/>
        </w:rPr>
        <w:t xml:space="preserve">масивні </w:t>
      </w:r>
      <w:r w:rsidR="00FE197A" w:rsidRPr="0009498C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ровотечі, </w:t>
      </w:r>
      <w:r w:rsidRPr="0009498C">
        <w:rPr>
          <w:rFonts w:ascii="Times New Roman" w:hAnsi="Times New Roman" w:cs="Times New Roman"/>
          <w:sz w:val="28"/>
          <w:szCs w:val="28"/>
        </w:rPr>
        <w:t>A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9498C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Огляд дихальних шляхів (</w:t>
      </w:r>
      <w:r w:rsidRPr="0009498C">
        <w:rPr>
          <w:rFonts w:ascii="Times New Roman" w:hAnsi="Times New Roman" w:cs="Times New Roman"/>
          <w:sz w:val="28"/>
          <w:szCs w:val="28"/>
        </w:rPr>
        <w:t>Airway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r w:rsidR="00FE197A" w:rsidRPr="0009498C">
        <w:rPr>
          <w:rFonts w:ascii="Times New Roman" w:hAnsi="Times New Roman" w:cs="Times New Roman"/>
          <w:sz w:val="28"/>
          <w:szCs w:val="28"/>
        </w:rPr>
        <w:t>R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 w:rsidRPr="0009498C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 w:rsidRPr="0009498C">
        <w:rPr>
          <w:rFonts w:ascii="Times New Roman" w:hAnsi="Times New Roman" w:cs="Times New Roman"/>
          <w:sz w:val="28"/>
          <w:szCs w:val="28"/>
          <w:lang w:val="uk-UA"/>
        </w:rPr>
        <w:t>Дихання</w:t>
      </w:r>
      <w:r w:rsidRPr="0009498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FE197A" w:rsidRPr="0009498C">
        <w:rPr>
          <w:rFonts w:ascii="Times New Roman" w:hAnsi="Times New Roman" w:cs="Times New Roman"/>
          <w:sz w:val="28"/>
          <w:szCs w:val="28"/>
        </w:rPr>
        <w:t>Respiration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r w:rsidRPr="00A837A6">
        <w:rPr>
          <w:rFonts w:ascii="Times New Roman" w:hAnsi="Times New Roman" w:cs="Times New Roman"/>
          <w:sz w:val="28"/>
          <w:szCs w:val="28"/>
        </w:rPr>
        <w:t>C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837A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>
        <w:rPr>
          <w:rFonts w:ascii="Times New Roman" w:hAnsi="Times New Roman" w:cs="Times New Roman"/>
          <w:sz w:val="28"/>
          <w:szCs w:val="28"/>
          <w:lang w:val="ru-RU"/>
        </w:rPr>
        <w:t>Кровообіг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A837A6">
        <w:rPr>
          <w:rFonts w:ascii="Times New Roman" w:hAnsi="Times New Roman" w:cs="Times New Roman"/>
          <w:sz w:val="28"/>
          <w:szCs w:val="28"/>
        </w:rPr>
        <w:t>Circulation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r w:rsidR="00FE197A">
        <w:rPr>
          <w:rFonts w:ascii="Times New Roman" w:hAnsi="Times New Roman" w:cs="Times New Roman"/>
          <w:sz w:val="28"/>
          <w:szCs w:val="28"/>
        </w:rPr>
        <w:t>H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197A">
        <w:rPr>
          <w:rFonts w:ascii="Times New Roman" w:hAnsi="Times New Roman" w:cs="Times New Roman"/>
          <w:sz w:val="28"/>
          <w:szCs w:val="28"/>
          <w:lang w:val="uk-UA"/>
        </w:rPr>
        <w:t>гіпотермія та травми голови</w:t>
      </w:r>
      <w:r w:rsidR="00FE197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C1B82" w:rsidRPr="00A837A6" w:rsidRDefault="003C1B82" w:rsidP="00FE197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>1.</w:t>
      </w:r>
      <w:r w:rsidR="00AF47A4"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>.4. Третій етап</w:t>
      </w:r>
      <w:r w:rsidRPr="00A837A6">
        <w:rPr>
          <w:rFonts w:ascii="Times New Roman" w:hAnsi="Times New Roman" w:cs="Times New Roman"/>
          <w:bCs/>
          <w:sz w:val="28"/>
          <w:szCs w:val="28"/>
        </w:rPr>
        <w:t> </w:t>
      </w: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>– надання</w:t>
      </w:r>
      <w:r w:rsidRPr="00A837A6">
        <w:rPr>
          <w:rFonts w:ascii="Times New Roman" w:hAnsi="Times New Roman" w:cs="Times New Roman"/>
          <w:bCs/>
          <w:sz w:val="28"/>
          <w:szCs w:val="28"/>
        </w:rPr>
        <w:t> </w:t>
      </w: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>допомоги під час тактичної евакуації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При здійсненні евакуації допомога надається до надходження постраждалого в пункт збору або до медичної установи.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bCs/>
          <w:iCs/>
          <w:sz w:val="28"/>
          <w:szCs w:val="28"/>
          <w:lang w:val="ru-RU"/>
        </w:rPr>
        <w:t>Розрізняють немедичну та медичну евакуацію: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 xml:space="preserve">Немедична </w:t>
      </w:r>
      <w:proofErr w:type="gramStart"/>
      <w:r w:rsidRPr="00A837A6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евакуація</w:t>
      </w:r>
      <w:r w:rsidRPr="00A837A6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 xml:space="preserve"> </w:t>
      </w:r>
      <w:r w:rsidRPr="00A837A6">
        <w:rPr>
          <w:rFonts w:ascii="Times New Roman" w:hAnsi="Times New Roman" w:cs="Times New Roman"/>
          <w:bCs/>
          <w:sz w:val="28"/>
          <w:szCs w:val="28"/>
        </w:rPr>
        <w:t> </w:t>
      </w:r>
      <w:r w:rsidRPr="00A837A6">
        <w:rPr>
          <w:rFonts w:ascii="Times New Roman" w:hAnsi="Times New Roman" w:cs="Times New Roman"/>
          <w:bCs/>
          <w:sz w:val="28"/>
          <w:szCs w:val="28"/>
          <w:lang w:val="ru-RU"/>
        </w:rPr>
        <w:t>потерпілого</w:t>
      </w:r>
      <w:proofErr w:type="gramEnd"/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 відноситься до переміщення потерпілих з використанням немедичного транспортного засобу або літального апарату. Під час такої евакуації рятувальник може перебувати з потерпілим для надання йому допомоги під час транспортування.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A837A6">
        <w:rPr>
          <w:rFonts w:ascii="Times New Roman" w:hAnsi="Times New Roman" w:cs="Times New Roman"/>
          <w:iCs/>
          <w:sz w:val="28"/>
          <w:szCs w:val="28"/>
          <w:lang w:val="ru-RU"/>
        </w:rPr>
        <w:t>)</w:t>
      </w:r>
      <w:r w:rsidRPr="00A837A6">
        <w:rPr>
          <w:rFonts w:ascii="Times New Roman" w:hAnsi="Times New Roman" w:cs="Times New Roman"/>
          <w:iCs/>
          <w:sz w:val="28"/>
          <w:szCs w:val="28"/>
        </w:rPr>
        <w:t> </w:t>
      </w:r>
      <w:r w:rsidRPr="00A837A6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Медична евакуація</w:t>
      </w:r>
      <w:r w:rsidRPr="00A837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837A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837A6">
        <w:rPr>
          <w:rFonts w:ascii="Times New Roman" w:hAnsi="Times New Roman" w:cs="Times New Roman"/>
          <w:sz w:val="28"/>
          <w:szCs w:val="28"/>
        </w:rPr>
        <w:t> 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>відноситься до евакуації потерпілих з використанням спеціалізованого санітарного автомобіля або санітарного літака. На медичних транспортних засобах для евакуації (наземних і повітряних) присутній медичний персонал для надання потерпілим допомоги під час евакуації.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Поранених слід оперативно переміщати на наступний рівень надання допомоги, інакше наявні цінні ресурси витрачатимуться на підтримання пацієнтів, що перешкоджатиме іншим постраждалим отримати допомогу.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Допомога в умовах прямої загрози під час ведення бойових дій несе за собою</w:t>
      </w:r>
      <w:r w:rsidR="000949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високий ризик отримання додаткових травм постраждалим, тож виправданим є застосування мінімального переліку медичних маніпуляцій. 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 xml:space="preserve">У фазі прямої загрози пріоритетами є не стільки максимальний об’єм надання допомоги постраждалому, скільки усунення або мінімізація наявної загрози, щоб попередити отримання ушкоджень іншими особами чи додаткових травм постраждалими. </w:t>
      </w:r>
    </w:p>
    <w:p w:rsidR="003C1B82" w:rsidRPr="00A837A6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lastRenderedPageBreak/>
        <w:t>Єдиним пріоритетом у наданні домедичної допомоги є зупинка масивної кровотечі, перевага надається наданню самодопомоги (самостійне залишення зони небезпеки постраждалим і пошук ним тимчасового укриття). За можливості вирішується питання переміщення постраждалого в небезпечну зону, враховуючи можливі перепони та загрози оточуючого середовища: зруйновані будівлі, пожежі, наявність хімічних, біологічних чи радіоактивних елементів у зоні ураження тощо.</w:t>
      </w:r>
    </w:p>
    <w:p w:rsidR="003C1B82" w:rsidRDefault="003C1B82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837A6">
        <w:rPr>
          <w:rFonts w:ascii="Times New Roman" w:hAnsi="Times New Roman" w:cs="Times New Roman"/>
          <w:sz w:val="28"/>
          <w:szCs w:val="28"/>
          <w:lang w:val="ru-RU"/>
        </w:rPr>
        <w:t>Знімати з пораненого засоби захисту (шолом, бронежилет) не можна, оскільки Ви тим самим піддаєте себе додатковому ризику бути ураженим вогнем противника. Транспортувати пораненого із сектора обстрілу слід тільки в тому разі, коли дозволяє тактична ситуація.</w:t>
      </w:r>
    </w:p>
    <w:p w:rsidR="00B122B8" w:rsidRPr="00A837A6" w:rsidRDefault="00B122B8" w:rsidP="00A837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pacing w:val="-8"/>
          <w:sz w:val="28"/>
          <w:szCs w:val="28"/>
          <w:lang w:val="uk-UA"/>
        </w:rPr>
        <w:t>Навчальне питання</w:t>
      </w:r>
      <w:r w:rsidRPr="00A837A6"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8"/>
          <w:sz w:val="28"/>
          <w:szCs w:val="28"/>
          <w:lang w:val="ru-RU"/>
        </w:rPr>
        <w:t xml:space="preserve">2: </w:t>
      </w:r>
      <w:r w:rsidRPr="00F01EF5">
        <w:rPr>
          <w:rFonts w:ascii="Times New Roman" w:hAnsi="Times New Roman" w:cs="Times New Roman"/>
          <w:sz w:val="28"/>
          <w:szCs w:val="28"/>
          <w:lang w:val="ru-RU"/>
        </w:rPr>
        <w:t>Аптечка медична загальновійськова індивідуальна (АМЗІ)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sz w:val="28"/>
          <w:szCs w:val="28"/>
          <w:lang w:val="ru-RU"/>
        </w:rPr>
        <w:t>Аптечка медична загальновійськова індивідуальна (АМЗІ) відносяться до інвентарних індивідуальних медичних засобів та є табельним комплектом медичного оснащення кожного військовослужбовця.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sz w:val="28"/>
          <w:szCs w:val="28"/>
          <w:lang w:val="ru-RU"/>
        </w:rPr>
        <w:t xml:space="preserve">Аптечка медична загальновійськова індивідуальна (АМЗІ) призначена для надання першої медичної допомоги пораненим або травмованим у польових умовах, в порядку самодопомоги і взаємодопомоги та застосовуються військовослужбовцями тільки </w:t>
      </w:r>
      <w:proofErr w:type="gramStart"/>
      <w:r w:rsidRPr="00F01EF5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Pr="00F01EF5">
        <w:rPr>
          <w:rFonts w:ascii="Times New Roman" w:hAnsi="Times New Roman" w:cs="Times New Roman"/>
          <w:sz w:val="28"/>
          <w:szCs w:val="28"/>
        </w:rPr>
        <w:t> 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>цільовим</w:t>
      </w:r>
      <w:proofErr w:type="gramEnd"/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sz w:val="28"/>
          <w:szCs w:val="28"/>
        </w:rPr>
        <w:t> 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>призначенням</w:t>
      </w:r>
      <w:r w:rsidRPr="00F01EF5">
        <w:rPr>
          <w:rFonts w:ascii="Times New Roman" w:hAnsi="Times New Roman" w:cs="Times New Roman"/>
          <w:sz w:val="28"/>
          <w:szCs w:val="28"/>
        </w:rPr>
        <w:t> </w:t>
      </w:r>
      <w:r w:rsidRPr="00F01EF5">
        <w:rPr>
          <w:rFonts w:ascii="Times New Roman" w:hAnsi="Times New Roman" w:cs="Times New Roman"/>
          <w:sz w:val="28"/>
          <w:szCs w:val="28"/>
          <w:lang w:val="ru-RU"/>
        </w:rPr>
        <w:t xml:space="preserve"> під час виконання</w:t>
      </w:r>
      <w:r w:rsidRPr="00F01EF5">
        <w:rPr>
          <w:rFonts w:ascii="Times New Roman" w:hAnsi="Times New Roman" w:cs="Times New Roman"/>
          <w:sz w:val="28"/>
          <w:szCs w:val="28"/>
        </w:rPr>
        <w:t> 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>бойових завдань</w:t>
      </w:r>
      <w:r w:rsidRPr="00F01EF5">
        <w:rPr>
          <w:rFonts w:ascii="Times New Roman" w:hAnsi="Times New Roman" w:cs="Times New Roman"/>
          <w:sz w:val="28"/>
          <w:szCs w:val="28"/>
        </w:rPr>
        <w:t> </w:t>
      </w:r>
      <w:r w:rsidRPr="00F01EF5">
        <w:rPr>
          <w:rFonts w:ascii="Times New Roman" w:hAnsi="Times New Roman" w:cs="Times New Roman"/>
          <w:sz w:val="28"/>
          <w:szCs w:val="28"/>
          <w:lang w:val="ru-RU"/>
        </w:rPr>
        <w:t>(в екстрених ситуаціях)</w:t>
      </w:r>
      <w:r w:rsidRPr="00F01EF5">
        <w:rPr>
          <w:rFonts w:ascii="Times New Roman" w:hAnsi="Times New Roman" w:cs="Times New Roman"/>
          <w:sz w:val="28"/>
          <w:szCs w:val="28"/>
        </w:rPr>
        <w:t> 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 отриманні травми, поранення чи ураження 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01EF5">
        <w:rPr>
          <w:rFonts w:ascii="Times New Roman" w:hAnsi="Times New Roman" w:cs="Times New Roman"/>
          <w:sz w:val="28"/>
          <w:szCs w:val="28"/>
          <w:lang w:val="ru-RU"/>
        </w:rPr>
        <w:t>У склад</w:t>
      </w:r>
      <w:proofErr w:type="gramEnd"/>
      <w:r w:rsidRPr="00F01EF5">
        <w:rPr>
          <w:rFonts w:ascii="Times New Roman" w:hAnsi="Times New Roman" w:cs="Times New Roman"/>
          <w:sz w:val="28"/>
          <w:szCs w:val="28"/>
          <w:lang w:val="ru-RU"/>
        </w:rPr>
        <w:t xml:space="preserve"> аптечки медичної загальновійськової індивідуальної (АМЗІ) входять наступні</w:t>
      </w:r>
      <w:r w:rsidRPr="00F01EF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F01EF5">
        <w:rPr>
          <w:rFonts w:ascii="Times New Roman" w:hAnsi="Times New Roman" w:cs="Times New Roman"/>
          <w:sz w:val="28"/>
          <w:szCs w:val="28"/>
          <w:lang w:val="ru-RU"/>
        </w:rPr>
        <w:t>лікарські засоби та медичні вироби (таблиця 1.1.):</w:t>
      </w: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EF5">
        <w:rPr>
          <w:rFonts w:ascii="Times New Roman" w:hAnsi="Times New Roman" w:cs="Times New Roman"/>
          <w:b/>
          <w:sz w:val="28"/>
          <w:szCs w:val="28"/>
        </w:rPr>
        <w:lastRenderedPageBreak/>
        <w:t>Таблиця 1.1.</w:t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EF5">
        <w:rPr>
          <w:rFonts w:ascii="Times New Roman" w:hAnsi="Times New Roman" w:cs="Times New Roman"/>
          <w:b/>
          <w:sz w:val="28"/>
          <w:szCs w:val="28"/>
        </w:rPr>
        <w:t>Склад аптечки медичної загальновійськової індивідуальної (АМЗІ)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747"/>
        <w:gridCol w:w="1373"/>
        <w:gridCol w:w="1451"/>
      </w:tblGrid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sz w:val="28"/>
                <w:szCs w:val="28"/>
              </w:rPr>
              <w:t xml:space="preserve">Найменування 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sz w:val="28"/>
                <w:szCs w:val="28"/>
              </w:rPr>
              <w:t>Одиниця виміру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sz w:val="28"/>
                <w:szCs w:val="28"/>
              </w:rPr>
              <w:t>Кількість</w:t>
            </w:r>
          </w:p>
        </w:tc>
      </w:tr>
      <w:tr w:rsidR="00B122B8" w:rsidRPr="00F01EF5" w:rsidTr="00E4147C">
        <w:trPr>
          <w:trHeight w:val="154"/>
        </w:trPr>
        <w:tc>
          <w:tcPr>
            <w:tcW w:w="9571" w:type="dxa"/>
            <w:gridSpan w:val="3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sz w:val="28"/>
                <w:szCs w:val="28"/>
              </w:rPr>
              <w:t>ЛІКАРСЬКІ ЗАСОБИ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Парацетамол 500 мг</w:t>
            </w:r>
          </w:p>
        </w:tc>
        <w:tc>
          <w:tcPr>
            <w:tcW w:w="1373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мг</w:t>
            </w:r>
          </w:p>
        </w:tc>
        <w:tc>
          <w:tcPr>
            <w:tcW w:w="1451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Мелоксикам 7,5 мг</w:t>
            </w:r>
          </w:p>
        </w:tc>
        <w:tc>
          <w:tcPr>
            <w:tcW w:w="1373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мг</w:t>
            </w:r>
          </w:p>
        </w:tc>
        <w:tc>
          <w:tcPr>
            <w:tcW w:w="1451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Ципрофлоксацин 500 мг (або левофлоксацин 500 мг)</w:t>
            </w:r>
          </w:p>
        </w:tc>
        <w:tc>
          <w:tcPr>
            <w:tcW w:w="1373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мг</w:t>
            </w:r>
          </w:p>
        </w:tc>
        <w:tc>
          <w:tcPr>
            <w:tcW w:w="1451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400(500)</w:t>
            </w:r>
          </w:p>
        </w:tc>
      </w:tr>
      <w:tr w:rsidR="00B122B8" w:rsidRPr="00F01EF5" w:rsidTr="00E4147C">
        <w:trPr>
          <w:trHeight w:val="154"/>
        </w:trPr>
        <w:tc>
          <w:tcPr>
            <w:tcW w:w="9571" w:type="dxa"/>
            <w:gridSpan w:val="3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color w:val="000000"/>
                <w:sz w:val="28"/>
                <w:szCs w:val="28"/>
                <w:shd w:val="clear" w:color="auto" w:fill="FFFFFF"/>
              </w:rPr>
              <w:t>ПЕРЕВ’ЯЗУВАЛЬНІ ЗАСОБИ, ШОВНІ МАТЕРІАЛИ, ЛЕЙКОПЛАСТИРІ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Пакет перев’язувальний індивідуальний стерильний з еластичним компресійним компонентом першої допомоги із захисною вологостійкою оболонкою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1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Бинт марлевий стерильний завдовжки 7 м, завширшки 14 см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Засіб для зупинки кровотечі хімічний (бинт кровоспинний тампонувальний з гемостатичним засобом)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Оклюзійна торакальна пов’язка (наліпка) на гелевій основі з клапаном (або без клапана)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2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Лейкопластир на нетканій основі завдовжки 3-5 м, завширшки 2-3 см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1</w:t>
            </w:r>
          </w:p>
        </w:tc>
      </w:tr>
      <w:tr w:rsidR="00E4147C" w:rsidRPr="00F01EF5" w:rsidTr="00E4147C">
        <w:trPr>
          <w:trHeight w:val="154"/>
        </w:trPr>
        <w:tc>
          <w:tcPr>
            <w:tcW w:w="6747" w:type="dxa"/>
          </w:tcPr>
          <w:p w:rsidR="00E4147C" w:rsidRPr="00F01EF5" w:rsidRDefault="00E4147C" w:rsidP="00887F3F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Захисний щиток на око</w:t>
            </w:r>
          </w:p>
        </w:tc>
        <w:tc>
          <w:tcPr>
            <w:tcW w:w="1373" w:type="dxa"/>
          </w:tcPr>
          <w:p w:rsidR="00E4147C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E4147C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22B8" w:rsidRPr="00F01EF5" w:rsidTr="00E4147C">
        <w:trPr>
          <w:trHeight w:val="154"/>
        </w:trPr>
        <w:tc>
          <w:tcPr>
            <w:tcW w:w="9571" w:type="dxa"/>
            <w:gridSpan w:val="3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color w:val="000000"/>
                <w:sz w:val="28"/>
                <w:szCs w:val="28"/>
                <w:shd w:val="clear" w:color="auto" w:fill="FFFFFF"/>
              </w:rPr>
              <w:t>МЕДИЧНІ ПРЕДМЕТИ ВИТРАТНІ</w:t>
            </w:r>
          </w:p>
        </w:tc>
      </w:tr>
      <w:tr w:rsidR="00B122B8" w:rsidRPr="00F01EF5" w:rsidTr="00E4147C">
        <w:trPr>
          <w:trHeight w:val="154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Рукавички медичні оглядові нітрилові нестерильні (розмір L або XL)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пара</w:t>
            </w:r>
          </w:p>
        </w:tc>
        <w:tc>
          <w:tcPr>
            <w:tcW w:w="1451" w:type="dxa"/>
          </w:tcPr>
          <w:p w:rsidR="00B122B8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22B8" w:rsidRPr="00F01EF5" w:rsidTr="00E4147C">
        <w:trPr>
          <w:trHeight w:val="529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Термоковдра на поліетиленовій основі завширшки 160 см, завдовжки 210 см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1</w:t>
            </w:r>
          </w:p>
        </w:tc>
      </w:tr>
      <w:tr w:rsidR="00B122B8" w:rsidRPr="00F01EF5" w:rsidTr="00E4147C">
        <w:trPr>
          <w:trHeight w:val="292"/>
        </w:trPr>
        <w:tc>
          <w:tcPr>
            <w:tcW w:w="9571" w:type="dxa"/>
            <w:gridSpan w:val="3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color w:val="000000"/>
                <w:sz w:val="28"/>
                <w:szCs w:val="28"/>
                <w:shd w:val="clear" w:color="auto" w:fill="FFFFFF"/>
              </w:rPr>
              <w:t>ЛІКАРСЬКІ ПРЕДМЕТИ, АПАРАТИ ТА ХІРУРГІЧНІ ІНСТРУМЕНТИ</w:t>
            </w:r>
          </w:p>
        </w:tc>
      </w:tr>
      <w:tr w:rsidR="00B122B8" w:rsidRPr="00F01EF5" w:rsidTr="00E4147C">
        <w:trPr>
          <w:trHeight w:val="385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Засіб для зупинки кровотечі механічний по типу «CAT»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2</w:t>
            </w:r>
          </w:p>
        </w:tc>
      </w:tr>
      <w:tr w:rsidR="00B122B8" w:rsidRPr="00F01EF5" w:rsidTr="00E4147C">
        <w:trPr>
          <w:trHeight w:val="292"/>
        </w:trPr>
        <w:tc>
          <w:tcPr>
            <w:tcW w:w="9571" w:type="dxa"/>
            <w:gridSpan w:val="3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color w:val="000000"/>
                <w:sz w:val="28"/>
                <w:szCs w:val="28"/>
                <w:shd w:val="clear" w:color="auto" w:fill="FFFFFF"/>
              </w:rPr>
              <w:t>САНІТАРНО-ГОСПОДАРСЬКЕ МАЙНО</w:t>
            </w:r>
          </w:p>
        </w:tc>
      </w:tr>
      <w:tr w:rsidR="00B122B8" w:rsidRPr="00F01EF5" w:rsidTr="00E4147C">
        <w:trPr>
          <w:trHeight w:val="289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Маркер водостійкий для нанесення інформації синього кольору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1</w:t>
            </w:r>
          </w:p>
        </w:tc>
      </w:tr>
      <w:tr w:rsidR="00B122B8" w:rsidRPr="00F01EF5" w:rsidTr="00E4147C">
        <w:trPr>
          <w:trHeight w:val="289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Ножиці для розрізання одягу і взуття (атравматичні)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1</w:t>
            </w:r>
          </w:p>
        </w:tc>
      </w:tr>
      <w:tr w:rsidR="00E4147C" w:rsidRPr="00F01EF5" w:rsidTr="00E4147C">
        <w:trPr>
          <w:trHeight w:val="289"/>
        </w:trPr>
        <w:tc>
          <w:tcPr>
            <w:tcW w:w="6747" w:type="dxa"/>
          </w:tcPr>
          <w:p w:rsidR="00E4147C" w:rsidRPr="00F01EF5" w:rsidRDefault="00E4147C" w:rsidP="00887F3F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Підсумок (укладка) медична</w:t>
            </w:r>
          </w:p>
        </w:tc>
        <w:tc>
          <w:tcPr>
            <w:tcW w:w="1373" w:type="dxa"/>
          </w:tcPr>
          <w:p w:rsidR="00E4147C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1451" w:type="dxa"/>
          </w:tcPr>
          <w:p w:rsidR="00E4147C" w:rsidRPr="00F01EF5" w:rsidRDefault="00E4147C" w:rsidP="00887F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22B8" w:rsidRPr="00F01EF5" w:rsidTr="00E4147C">
        <w:trPr>
          <w:trHeight w:val="292"/>
        </w:trPr>
        <w:tc>
          <w:tcPr>
            <w:tcW w:w="9571" w:type="dxa"/>
            <w:gridSpan w:val="3"/>
          </w:tcPr>
          <w:p w:rsidR="00B122B8" w:rsidRPr="00F01EF5" w:rsidRDefault="00B122B8" w:rsidP="00887F3F">
            <w:pPr>
              <w:jc w:val="both"/>
              <w:rPr>
                <w:b/>
                <w:sz w:val="28"/>
                <w:szCs w:val="28"/>
              </w:rPr>
            </w:pPr>
            <w:r w:rsidRPr="00F01EF5">
              <w:rPr>
                <w:b/>
                <w:color w:val="000000"/>
                <w:sz w:val="28"/>
                <w:szCs w:val="28"/>
                <w:shd w:val="clear" w:color="auto" w:fill="FFFFFF"/>
              </w:rPr>
              <w:t>СУПРОВІДНА ДОКУМЕНТАЦІЯ</w:t>
            </w:r>
          </w:p>
        </w:tc>
      </w:tr>
      <w:tr w:rsidR="00B122B8" w:rsidRPr="00F01EF5" w:rsidTr="00E4147C">
        <w:trPr>
          <w:trHeight w:val="255"/>
        </w:trPr>
        <w:tc>
          <w:tcPr>
            <w:tcW w:w="6747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color w:val="000000"/>
                <w:sz w:val="28"/>
                <w:szCs w:val="28"/>
                <w:shd w:val="clear" w:color="auto" w:fill="FFFFFF"/>
              </w:rPr>
              <w:t>Картка постраждалого бійця (встановленого зразка)</w:t>
            </w:r>
          </w:p>
        </w:tc>
        <w:tc>
          <w:tcPr>
            <w:tcW w:w="1373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шт.</w:t>
            </w:r>
          </w:p>
        </w:tc>
        <w:tc>
          <w:tcPr>
            <w:tcW w:w="1451" w:type="dxa"/>
          </w:tcPr>
          <w:p w:rsidR="00B122B8" w:rsidRPr="00F01EF5" w:rsidRDefault="00B122B8" w:rsidP="00887F3F">
            <w:pPr>
              <w:jc w:val="both"/>
              <w:rPr>
                <w:sz w:val="28"/>
                <w:szCs w:val="28"/>
              </w:rPr>
            </w:pPr>
            <w:r w:rsidRPr="00F01EF5">
              <w:rPr>
                <w:sz w:val="28"/>
                <w:szCs w:val="28"/>
              </w:rPr>
              <w:t>1</w:t>
            </w:r>
          </w:p>
        </w:tc>
      </w:tr>
    </w:tbl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Залежно від особливостей виконуваного завдання, рівня підготовки військовослужбовця та ймовірності потенційних уражень радіологічною, хімічною чи біологічною зброєю склад </w:t>
      </w:r>
      <w:r w:rsidRPr="00F01EF5">
        <w:rPr>
          <w:rFonts w:ascii="Times New Roman" w:hAnsi="Times New Roman" w:cs="Times New Roman"/>
          <w:sz w:val="28"/>
          <w:szCs w:val="28"/>
        </w:rPr>
        <w:t>АМЗІ</w:t>
      </w:r>
      <w:r w:rsidRPr="00F01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 бути доповнено додатковими лікарськими засобами і медичними виробами.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2B8" w:rsidRPr="00F01EF5" w:rsidRDefault="00B122B8" w:rsidP="0099334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EF5">
        <w:rPr>
          <w:rFonts w:ascii="Times New Roman" w:hAnsi="Times New Roman" w:cs="Times New Roman"/>
          <w:sz w:val="28"/>
          <w:szCs w:val="28"/>
        </w:rPr>
        <w:t xml:space="preserve">1.5.2. Індивідуальна аптечка першої допомоги (IFAK – Individual First Aid Kit) 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EF5">
        <w:rPr>
          <w:rFonts w:ascii="Times New Roman" w:hAnsi="Times New Roman" w:cs="Times New Roman"/>
          <w:sz w:val="28"/>
          <w:szCs w:val="28"/>
        </w:rPr>
        <w:t>Для надання першої медичної допомоги в бойових умовах також використовується сучасна індивідуальна аптечка першої допомоги (IFAK – Individual First Aid Kit) (рисунок 2).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EF5">
        <w:rPr>
          <w:rFonts w:ascii="Times New Roman" w:hAnsi="Times New Roman" w:cs="Times New Roman"/>
          <w:sz w:val="28"/>
          <w:szCs w:val="28"/>
        </w:rPr>
        <w:t xml:space="preserve">Тактична індивідуальна аптечка першої допомоги (IFAK – Individual First Aid Kit) повинна відповідати правилам надання домедичної допомоги за спрощеним медичним протоколом </w:t>
      </w:r>
      <w:r w:rsidRPr="00F01EF5">
        <w:rPr>
          <w:rFonts w:ascii="Times New Roman" w:hAnsi="Times New Roman" w:cs="Times New Roman"/>
          <w:b/>
          <w:sz w:val="28"/>
          <w:szCs w:val="28"/>
        </w:rPr>
        <w:t>C-A-B-C</w:t>
      </w:r>
      <w:r w:rsidRPr="00F01EF5">
        <w:rPr>
          <w:rFonts w:ascii="Times New Roman" w:hAnsi="Times New Roman" w:cs="Times New Roman"/>
          <w:sz w:val="28"/>
          <w:szCs w:val="28"/>
        </w:rPr>
        <w:t>: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95AE412" wp14:editId="5EEC86BD">
            <wp:extent cx="1595887" cy="1526875"/>
            <wp:effectExtent l="0" t="0" r="4445" b="0"/>
            <wp:docPr id="1157" name="Рисунок 1157" descr="ifa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fak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52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EF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2F9F8B2" wp14:editId="3AC69E0E">
            <wp:extent cx="2432649" cy="1613139"/>
            <wp:effectExtent l="0" t="0" r="6350" b="6350"/>
            <wp:docPr id="1158" name="Рисунок 1158" descr="ifa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fak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61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</w:rPr>
        <w:t>Рисунок 2</w:t>
      </w:r>
      <w:r w:rsidRPr="00F01EF5">
        <w:rPr>
          <w:rFonts w:ascii="Times New Roman" w:hAnsi="Times New Roman" w:cs="Times New Roman"/>
          <w:bCs/>
          <w:sz w:val="28"/>
          <w:szCs w:val="28"/>
        </w:rPr>
        <w:t xml:space="preserve"> – індивідуальна аптечка першої допомоги </w:t>
      </w:r>
      <w:r w:rsidRPr="00F01EF5">
        <w:rPr>
          <w:rFonts w:ascii="Times New Roman" w:hAnsi="Times New Roman" w:cs="Times New Roman"/>
          <w:bCs/>
          <w:sz w:val="28"/>
          <w:szCs w:val="28"/>
        </w:rPr>
        <w:br/>
        <w:t>(IFAK – Individual First Aid Kit).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</w:rPr>
        <w:t>а) Кровоспинні засоби (C):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</w:rPr>
        <w:t>1)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 xml:space="preserve"> Джгут для зупинки артеріальної кровотечі C.A.T. (Combat Application Tourniquet) (рисунок 3а), бажано мати два турнікети – один в аптечці, інший ззовні - на самій аптечці або на амуніції, у однаковому місці, визначеному для всіх бійців підрозділу.</w:t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 xml:space="preserve">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0AA4D4F" wp14:editId="5064C1D0">
            <wp:extent cx="2415540" cy="1794510"/>
            <wp:effectExtent l="0" t="0" r="3810" b="0"/>
            <wp:docPr id="1159" name="Рисунок 1159" descr="турніке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урнікет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EF5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               </w:t>
      </w:r>
      <w:r w:rsidRPr="00F01EF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6C3AFA" wp14:editId="071F70AD">
            <wp:extent cx="2024424" cy="1716657"/>
            <wp:effectExtent l="0" t="0" r="0" b="0"/>
            <wp:docPr id="6" name="Рисунок 6" descr="G:\е\243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е\2439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54" t="10145" r="12803" b="17102"/>
                    <a:stretch/>
                  </pic:blipFill>
                  <pic:spPr bwMode="auto">
                    <a:xfrm>
                      <a:off x="0" y="0"/>
                      <a:ext cx="2031213" cy="172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tabs>
          <w:tab w:val="left" w:pos="0"/>
          <w:tab w:val="left" w:pos="543"/>
          <w:tab w:val="left" w:pos="127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а</w:t>
      </w:r>
      <w:r w:rsidRPr="00F01EF5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                                      б</w:t>
      </w:r>
    </w:p>
    <w:p w:rsidR="00B122B8" w:rsidRPr="00F01EF5" w:rsidRDefault="00B122B8" w:rsidP="00B122B8">
      <w:pPr>
        <w:tabs>
          <w:tab w:val="left" w:pos="0"/>
          <w:tab w:val="left" w:pos="543"/>
          <w:tab w:val="left" w:pos="1276"/>
        </w:tabs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i/>
          <w:sz w:val="28"/>
          <w:szCs w:val="28"/>
          <w:lang w:val="ru-RU"/>
        </w:rPr>
        <w:t>Умовні познаки:</w:t>
      </w:r>
    </w:p>
    <w:p w:rsidR="00E4147C" w:rsidRPr="00F01EF5" w:rsidRDefault="00E4147C" w:rsidP="00E4147C">
      <w:pPr>
        <w:tabs>
          <w:tab w:val="left" w:pos="0"/>
          <w:tab w:val="left" w:pos="1276"/>
        </w:tabs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>а) – спеціальний джгут (типу САТ).</w:t>
      </w:r>
    </w:p>
    <w:p w:rsidR="00B122B8" w:rsidRPr="00F01EF5" w:rsidRDefault="00B122B8" w:rsidP="00B122B8">
      <w:pPr>
        <w:tabs>
          <w:tab w:val="left" w:pos="0"/>
          <w:tab w:val="left" w:pos="1276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>б) – джгут з еластичної гуми (типу Есмарха).</w:t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Рисунок 3 – 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>джгути.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Якщо турнікет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. відсутній – можливо використовувати український гумовий кровоспинний джгут Есмарха (рисунок 3б) або інші засоби для зупинки артеріальної кровотечі, наприклад, трикутна хустка для накладення закрутки.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Бандаж для першої допомоги з аплікатором для тиску на рану (Рисунок 4) ізраїльського виробництва – сучасний перев’язувальний пакет, який створюючи постійний тиск на рану, зупиняє більшість достатньо сильних, але не критичних кровотеч.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C3246E2" wp14:editId="0FD6221F">
            <wp:extent cx="2458421" cy="1552754"/>
            <wp:effectExtent l="0" t="0" r="0" b="0"/>
            <wp:docPr id="1161" name="Рисунок 1161" descr="bandage-6-fase4-510x6001-510x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ndage-6-fase4-510x6001-510x6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138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EF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E7C6D2" wp14:editId="6AC32BAC">
            <wp:extent cx="2737112" cy="1794294"/>
            <wp:effectExtent l="0" t="0" r="6350" b="0"/>
            <wp:docPr id="3" name="Рисунок 3" descr="Без іме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Без імені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" t="1467" r="23505" b="2639"/>
                    <a:stretch/>
                  </pic:blipFill>
                  <pic:spPr bwMode="auto">
                    <a:xfrm>
                      <a:off x="0" y="0"/>
                      <a:ext cx="2753432" cy="180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Рисунок 4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бандаж для першої допомоги з аплікатором для тиску </w:t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 рану. 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Гемостатичний засіб на основі хітозану чи каоліну (рисунок 5), у вигляді гранул або більш сучасні у вигляді кровоспинного бинта (бойової марлі) </w:t>
      </w: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-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QuikClot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Celox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ChitoGauze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інші.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Ці засоби застосовуються для тампонування ран з кровотечею та утворення штучного тромбу при взаємодії хітозану з кров’ю.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C6F46F7" wp14:editId="340257A2">
            <wp:extent cx="1544320" cy="1802765"/>
            <wp:effectExtent l="0" t="0" r="0" b="6985"/>
            <wp:docPr id="1163" name="Рисунок 1163" descr="QuikC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QuikClo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8E8BCE3" wp14:editId="73A344E7">
            <wp:extent cx="1917700" cy="173990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9973619" wp14:editId="19033161">
            <wp:extent cx="1717040" cy="1717040"/>
            <wp:effectExtent l="19050" t="0" r="0" b="0"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71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</w:rPr>
        <w:t>Рисунок 5 –</w:t>
      </w:r>
      <w:r w:rsidRPr="00F01EF5">
        <w:rPr>
          <w:rFonts w:ascii="Times New Roman" w:hAnsi="Times New Roman" w:cs="Times New Roman"/>
          <w:bCs/>
          <w:sz w:val="28"/>
          <w:szCs w:val="28"/>
        </w:rPr>
        <w:t xml:space="preserve"> гемостатичні засіби (</w:t>
      </w:r>
      <w:r w:rsidRPr="00F01E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QuikClot,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Celox, ChitoGauze</w:t>
      </w:r>
      <w:r w:rsidRPr="00F01EF5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б) Засіб забезпечення прохідності дихальних шляхів (А):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Назофарингеальний (носоглотковий) повітровід (рисунок 6). Важливий та ефективний засіб для відновлення прохідності дихальних шляхів при западанні язика.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                                      </w:t>
      </w:r>
      <w:r w:rsidRPr="00F01EF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8A16FA" wp14:editId="0EA04C44">
            <wp:extent cx="2320505" cy="759125"/>
            <wp:effectExtent l="0" t="0" r="3810" b="3175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l="4270" t="25741" b="22777"/>
                    <a:stretch/>
                  </pic:blipFill>
                  <pic:spPr bwMode="auto">
                    <a:xfrm>
                      <a:off x="0" y="0"/>
                      <a:ext cx="2328964" cy="76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Рисунок 6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назофарингеальний (носоглотковий) повітровід.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в) Засоби для боротьби з порушеннями дихання (</w:t>
      </w:r>
      <w:r w:rsidRPr="00F01EF5">
        <w:rPr>
          <w:rFonts w:ascii="Times New Roman" w:hAnsi="Times New Roman" w:cs="Times New Roman"/>
          <w:b/>
          <w:color w:val="000000"/>
          <w:sz w:val="28"/>
          <w:szCs w:val="28"/>
        </w:rPr>
        <w:t>B</w:t>
      </w: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):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1)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Оклюзійний грудний пластир Ашермана (рисунок 7). Пластир застосовується для герметизації відкритих поранень грудної клітини (відкритому пневмотораксі).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                                   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69A7F35" wp14:editId="600ED810">
            <wp:extent cx="1819910" cy="1440815"/>
            <wp:effectExtent l="0" t="0" r="8890" b="6985"/>
            <wp:docPr id="1165" name="Рисунок 1165" descr="image__94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__9437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Рисунок 7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оклюзійний грудний пластир Ашермана.</w:t>
      </w: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Набір для декомпресії (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Decomression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Kit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(рисунок 8). Спеціальна голка з катетером для декомпресії грудної клітки –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ARS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Air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Release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System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Декомпресійний набір застосовується для видалення повітря з плевральної порожнини грудної клітини (напруженому пневмотораксі).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Замість цього набору для декомпресії аптечка може містити катетер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G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14 (помаранчевий).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                              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483C66A" wp14:editId="3E5F99DD">
            <wp:extent cx="2708910" cy="1440815"/>
            <wp:effectExtent l="0" t="0" r="0" b="6985"/>
            <wp:docPr id="1166" name="Рисунок 1166" descr="TK117_50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K117_500_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</w:rPr>
        <w:t>Рисунок 8</w:t>
      </w:r>
      <w:r w:rsidRPr="00F01E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</w:rPr>
        <w:t xml:space="preserve"> набір для декомпресії (Decomression Kit).</w:t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Спеціальна маска із клапаном для штучного дихання методом “рот-в-рот” (рисунок 9).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lastRenderedPageBreak/>
        <w:t xml:space="preserve">                          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49E8674" wp14:editId="009901D0">
            <wp:extent cx="2648585" cy="1621790"/>
            <wp:effectExtent l="0" t="0" r="0" b="0"/>
            <wp:docPr id="1167" name="Рисунок 1167" descr="font-b-CPR-b-font-MASK-font-b-face-b-font-mask-font-b-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ont-b-CPR-b-font-MASK-font-b-face-b-font-mask-font-b-Fa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Рисунок 9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спеціальна маска із клапаном для штучного дихання.</w:t>
      </w: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г) Засоби для зупинення менших кровотеч, підтримання кровообігу, боротьби з шоком та інші засоби (</w:t>
      </w:r>
      <w:r w:rsidRPr="00F01EF5">
        <w:rPr>
          <w:rFonts w:ascii="Times New Roman" w:hAnsi="Times New Roman" w:cs="Times New Roman"/>
          <w:b/>
          <w:color w:val="000000"/>
          <w:sz w:val="28"/>
          <w:szCs w:val="28"/>
        </w:rPr>
        <w:t>C</w:t>
      </w: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):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Звичайні стерильні б</w:t>
      </w:r>
      <w:r w:rsidR="00E4147C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нти та серветки та/або перев’язувальні пакети.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Термоковдра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HRS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або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Blizzard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Survival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color w:val="000000"/>
          <w:sz w:val="28"/>
          <w:szCs w:val="28"/>
        </w:rPr>
        <w:t>Blanket</w:t>
      </w: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(рисунок 10) або інша, які призначені для боротьби з переохолодженням або перегріванням пораненого.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                          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8E72ACF" wp14:editId="2761FB0D">
            <wp:extent cx="2441575" cy="1440815"/>
            <wp:effectExtent l="0" t="0" r="0" b="6985"/>
            <wp:docPr id="1168" name="Рисунок 1168" descr="Blizzard_Protection_System_Blizzard_Survival_Blanket_1-600x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lizzard_Protection_System_Blizzard_Survival_Blanket_1-600x60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</w:rPr>
        <w:t>Рисунок 10</w:t>
      </w:r>
      <w:r w:rsidRPr="00F01E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</w:rPr>
        <w:t xml:space="preserve"> термоковдра (Blizzard Survival Blanket).</w:t>
      </w: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</w:t>
      </w:r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Трикутна хустка. Крім зупинки кровотечі хустка може застосовуватися як універсальна пов’язка на різні частини тіла, для фіксації кінцівок та інші.</w:t>
      </w: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</w:t>
      </w:r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Пластир бактерицидний.</w:t>
      </w: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</w:t>
      </w:r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Пластир котушковий.</w:t>
      </w: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</w:t>
      </w:r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Ножиці (рисунок 12).</w:t>
      </w: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0F3B5840" wp14:editId="72B54CD7">
            <wp:extent cx="1819910" cy="1440815"/>
            <wp:effectExtent l="0" t="0" r="8890" b="6985"/>
            <wp:docPr id="1170" name="Рисунок 1170" descr="armeyskie-takticheskie-nozhnicy-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rmeyskie-takticheskie-nozhnicy-5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Рисунок 12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ножиці.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</w:t>
      </w:r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Рукавички гумові.</w:t>
      </w: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</w:t>
      </w:r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Незмивний маркер (рисунок 13) (краще розчин діамантового зеленого (зеленки) у вигляді маркера - антисептик для невеликих ран).</w:t>
      </w:r>
    </w:p>
    <w:p w:rsidR="00B122B8" w:rsidRPr="00F01EF5" w:rsidRDefault="00B122B8" w:rsidP="00B122B8">
      <w:pPr>
        <w:ind w:firstLine="993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F01EF5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t xml:space="preserve">                                         </w:t>
      </w:r>
      <w:r w:rsidRPr="00F01EF5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051B9C9" wp14:editId="4A511A3A">
            <wp:extent cx="2122170" cy="1078230"/>
            <wp:effectExtent l="0" t="0" r="0" b="7620"/>
            <wp:docPr id="1171" name="Рисунок 1171" descr="зеле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зеленк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Рисунок 13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b/>
          <w:bCs/>
          <w:sz w:val="28"/>
          <w:szCs w:val="28"/>
          <w:lang w:val="ru-RU"/>
        </w:rPr>
        <w:t>–</w:t>
      </w:r>
      <w:r w:rsidRPr="00F01EF5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01EF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антисептик для невеликих ран (зеленка).</w:t>
      </w:r>
    </w:p>
    <w:p w:rsidR="00B122B8" w:rsidRPr="00F01EF5" w:rsidRDefault="00B122B8" w:rsidP="00B122B8">
      <w:pPr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B122B8" w:rsidRPr="00F01EF5" w:rsidRDefault="00E4147C" w:rsidP="00B122B8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</w:t>
      </w:r>
      <w:bookmarkStart w:id="0" w:name="_GoBack"/>
      <w:bookmarkEnd w:id="0"/>
      <w:r w:rsidR="00B122B8" w:rsidRPr="00F01EF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B122B8"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Медикаменти:</w:t>
      </w:r>
    </w:p>
    <w:p w:rsidR="00B122B8" w:rsidRPr="00F01EF5" w:rsidRDefault="00B122B8" w:rsidP="00B122B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знеболювальні ненаркотичні (парацетамол, діклофенак, ібупрофен, або інші);</w:t>
      </w:r>
    </w:p>
    <w:p w:rsidR="00392B3C" w:rsidRPr="00993343" w:rsidRDefault="00B122B8" w:rsidP="00993343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EF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антибіотики (цефалексін, норфлоксацин або амоксіцилін, або інші).</w:t>
      </w:r>
    </w:p>
    <w:sectPr w:rsidR="00392B3C" w:rsidRPr="0099334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277F9"/>
    <w:multiLevelType w:val="multilevel"/>
    <w:tmpl w:val="4F24984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5A4"/>
    <w:rsid w:val="0009498C"/>
    <w:rsid w:val="002055A4"/>
    <w:rsid w:val="002A565A"/>
    <w:rsid w:val="003C1B82"/>
    <w:rsid w:val="00857561"/>
    <w:rsid w:val="00993343"/>
    <w:rsid w:val="00A837A6"/>
    <w:rsid w:val="00AF47A4"/>
    <w:rsid w:val="00B122B8"/>
    <w:rsid w:val="00E4147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EBA9D"/>
  <w15:chartTrackingRefBased/>
  <w15:docId w15:val="{3EB27F68-7694-4C92-A67C-03F89102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1B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4">
    <w:name w:val="Table Grid"/>
    <w:basedOn w:val="a1"/>
    <w:uiPriority w:val="99"/>
    <w:rsid w:val="00B12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10514</Words>
  <Characters>5994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Базалицький</cp:lastModifiedBy>
  <cp:revision>7</cp:revision>
  <dcterms:created xsi:type="dcterms:W3CDTF">2024-11-05T22:39:00Z</dcterms:created>
  <dcterms:modified xsi:type="dcterms:W3CDTF">2025-04-04T05:54:00Z</dcterms:modified>
</cp:coreProperties>
</file>