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54" w:lineRule="auto"/>
        <w:jc w:val="center"/>
        <w:rPr/>
      </w:pPr>
      <w:r w:rsidDel="00000000" w:rsidR="00000000" w:rsidRPr="00000000">
        <w:rPr>
          <w:rtl w:val="0"/>
        </w:rPr>
        <w:t xml:space="preserve">ДОВІДКОВИЙ МАТЕРІАЛ</w:t>
      </w:r>
    </w:p>
    <w:p w:rsidR="00000000" w:rsidDel="00000000" w:rsidP="00000000" w:rsidRDefault="00000000" w:rsidRPr="00000000" w14:paraId="00000002">
      <w:pPr>
        <w:spacing w:line="254" w:lineRule="auto"/>
        <w:jc w:val="center"/>
        <w:rPr>
          <w:u w:val="single"/>
        </w:rPr>
      </w:pPr>
      <w:r w:rsidDel="00000000" w:rsidR="00000000" w:rsidRPr="00000000">
        <w:rPr>
          <w:rtl w:val="0"/>
        </w:rPr>
        <w:t xml:space="preserve">до проведення адаптації військовослужбовців</w:t>
      </w:r>
      <w:r w:rsidDel="00000000" w:rsidR="00000000" w:rsidRPr="00000000">
        <w:rPr>
          <w:rtl w:val="0"/>
        </w:rPr>
      </w:r>
    </w:p>
    <w:p w:rsidR="00000000" w:rsidDel="00000000" w:rsidP="00000000" w:rsidRDefault="00000000" w:rsidRPr="00000000" w14:paraId="00000003">
      <w:pPr>
        <w:spacing w:line="259" w:lineRule="auto"/>
        <w:jc w:val="center"/>
        <w:rPr>
          <w:u w:val="single"/>
        </w:rPr>
      </w:pPr>
      <w:r w:rsidDel="00000000" w:rsidR="00000000" w:rsidRPr="00000000">
        <w:rPr>
          <w:u w:val="single"/>
          <w:rtl w:val="0"/>
        </w:rPr>
        <w:t xml:space="preserve">ТЕМА: </w:t>
      </w:r>
      <w:r w:rsidDel="00000000" w:rsidR="00000000" w:rsidRPr="00000000">
        <w:rPr>
          <w:rtl w:val="0"/>
        </w:rPr>
        <w:t xml:space="preserve">Речове та продовольче забезпечення та медичне обслуговування</w:t>
      </w:r>
      <w:r w:rsidDel="00000000" w:rsidR="00000000" w:rsidRPr="00000000">
        <w:rPr>
          <w:rtl w:val="0"/>
        </w:rPr>
      </w:r>
    </w:p>
    <w:p w:rsidR="00000000" w:rsidDel="00000000" w:rsidP="00000000" w:rsidRDefault="00000000" w:rsidRPr="00000000" w14:paraId="00000004">
      <w:pPr>
        <w:spacing w:line="259" w:lineRule="auto"/>
        <w:jc w:val="center"/>
        <w:rPr>
          <w:u w:val="single"/>
        </w:rPr>
      </w:pPr>
      <w:r w:rsidDel="00000000" w:rsidR="00000000" w:rsidRPr="00000000">
        <w:rPr>
          <w:rtl w:val="0"/>
        </w:rPr>
      </w:r>
    </w:p>
    <w:p w:rsidR="00000000" w:rsidDel="00000000" w:rsidP="00000000" w:rsidRDefault="00000000" w:rsidRPr="00000000" w14:paraId="00000005">
      <w:pPr>
        <w:spacing w:line="259" w:lineRule="auto"/>
        <w:jc w:val="both"/>
        <w:rPr>
          <w:b w:val="1"/>
        </w:rPr>
      </w:pPr>
      <w:r w:rsidDel="00000000" w:rsidR="00000000" w:rsidRPr="00000000">
        <w:rPr>
          <w:b w:val="1"/>
          <w:rtl w:val="0"/>
        </w:rPr>
        <w:t xml:space="preserve">Матеріально-технічна база.</w:t>
      </w:r>
    </w:p>
    <w:p w:rsidR="00000000" w:rsidDel="00000000" w:rsidP="00000000" w:rsidRDefault="00000000" w:rsidRPr="00000000" w14:paraId="0000000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Навчальний клас;</w:t>
      </w:r>
    </w:p>
    <w:p w:rsidR="00000000" w:rsidDel="00000000" w:rsidP="00000000" w:rsidRDefault="00000000" w:rsidRPr="00000000" w14:paraId="0000000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Проєктор;</w:t>
      </w:r>
    </w:p>
    <w:p w:rsidR="00000000" w:rsidDel="00000000" w:rsidP="00000000" w:rsidRDefault="00000000" w:rsidRPr="00000000" w14:paraId="0000000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Ноутбук</w:t>
      </w:r>
    </w:p>
    <w:p w:rsidR="00000000" w:rsidDel="00000000" w:rsidP="00000000" w:rsidRDefault="00000000" w:rsidRPr="00000000" w14:paraId="00000009">
      <w:pPr>
        <w:spacing w:line="259" w:lineRule="auto"/>
        <w:jc w:val="both"/>
        <w:rPr>
          <w:b w:val="1"/>
        </w:rPr>
      </w:pPr>
      <w:r w:rsidDel="00000000" w:rsidR="00000000" w:rsidRPr="00000000">
        <w:rPr>
          <w:b w:val="1"/>
          <w:rtl w:val="0"/>
        </w:rPr>
        <w:t xml:space="preserve">Порядок проведення:</w:t>
      </w:r>
    </w:p>
    <w:p w:rsidR="00000000" w:rsidDel="00000000" w:rsidP="00000000" w:rsidRDefault="00000000" w:rsidRPr="00000000" w14:paraId="0000000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Медичне обслуговування.</w:t>
      </w:r>
    </w:p>
    <w:p w:rsidR="00000000" w:rsidDel="00000000" w:rsidP="00000000" w:rsidRDefault="00000000" w:rsidRPr="00000000" w14:paraId="0000000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natjaiywlim1"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Продовольче забезпечення</w:t>
      </w:r>
    </w:p>
    <w:p w:rsidR="00000000" w:rsidDel="00000000" w:rsidP="00000000" w:rsidRDefault="00000000" w:rsidRPr="00000000" w14:paraId="0000000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Речове забезпечення</w:t>
      </w:r>
    </w:p>
    <w:p w:rsidR="00000000" w:rsidDel="00000000" w:rsidP="00000000" w:rsidRDefault="00000000" w:rsidRPr="00000000" w14:paraId="0000000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Підведення підсумків.</w:t>
      </w:r>
    </w:p>
    <w:p w:rsidR="00000000" w:rsidDel="00000000" w:rsidP="00000000" w:rsidRDefault="00000000" w:rsidRPr="00000000" w14:paraId="0000000E">
      <w:pPr>
        <w:spacing w:line="259" w:lineRule="auto"/>
        <w:jc w:val="both"/>
        <w:rPr>
          <w:u w:val="single"/>
        </w:rPr>
      </w:pPr>
      <w:r w:rsidDel="00000000" w:rsidR="00000000" w:rsidRPr="00000000">
        <w:rPr>
          <w:rtl w:val="0"/>
        </w:rPr>
      </w:r>
    </w:p>
    <w:p w:rsidR="00000000" w:rsidDel="00000000" w:rsidP="00000000" w:rsidRDefault="00000000" w:rsidRPr="00000000" w14:paraId="0000000F">
      <w:pPr>
        <w:jc w:val="both"/>
        <w:rPr>
          <w:b w:val="1"/>
        </w:rPr>
      </w:pPr>
      <w:r w:rsidDel="00000000" w:rsidR="00000000" w:rsidRPr="00000000">
        <w:rPr>
          <w:b w:val="1"/>
          <w:color w:val="000000"/>
          <w:rtl w:val="0"/>
        </w:rPr>
        <w:tab/>
      </w:r>
      <w:r w:rsidDel="00000000" w:rsidR="00000000" w:rsidRPr="00000000">
        <w:rPr>
          <w:b w:val="1"/>
          <w:rtl w:val="0"/>
        </w:rPr>
        <w:t xml:space="preserve">1. Медичне обслуговування</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Графік роботи медичного пункту</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Мед.пункт працює в штатному режимі з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7:00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21:45!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t xml:space="preserve">2) Право на звернення в мед.пункт має кожен курсант.</w:t>
        <w:br w:type="textWrapping"/>
        <w:t xml:space="preserve">3) В ургентному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(екстренному випадку)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звернутись можна в будь-який час!</w:t>
        <w:br w:type="textWrapping"/>
        <w:t xml:space="preserve">4) В медичному пункті ведуться журнали обліку хворих, тому у випадку відмови від лікування це буде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зафіксовано в журналі!</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Амбулаторне лікування — це медична допомога, яку пацієнт отримує без госпіталізації в лікарню, відвідуючи лікаря в поліклініці чи вдома для консультацій, процедур, обстежень та лікувальних маніпуляцій, таких як ін'єкції чи крапельниці.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Цей метод дозволяє пацієнту залишатися вдома, зберігати звичний спосіб життя та отримувати комплексну підтримку в знайомому оточенні, що часто сприяє психологічному одужанню.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Стаціонарне лікування — це вид медичної допомоги, який передбачає тимчасове перебування пацієнта в медичному закладі (лікарні, клініці) протягом періоду, що перевищує 24 години, з цілодобовим наглядом медичного персоналу.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Це необхідно для складних випадків, коли потрібне інтенсивне лікування, постійний контроль стану здоров'я або відновлення після серйозних втручань.</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Робота лазарету:</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Лазарет - окреме ізоляційне приміщення (палатка) на території табору.</w:t>
        <w:br w:type="textWrapping"/>
        <w:t xml:space="preserve">2) Лазарет оглядається медиками батальйону або лікарями з навчального центру кожен ранок.</w:t>
        <w:br w:type="textWrapping"/>
        <w:t xml:space="preserve">3) В лазарет направляються курсанти з інфекційними захворюваннями для лікування в умовах спокою і щоденного догляду.</w:t>
        <w:tab/>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 недотримання режиму лікування – виписка!</w:t>
        <w:tab/>
        <w:br w:type="textWrapping"/>
        <w:tab/>
        <w:t xml:space="preserve">Особиста гігієна курсанта:</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Користування засобами особистої гігієни (вологі серветки, туалетний папір, вушні палички, зубна паста і щітка);</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Дотримання правил гігієни - миття рук і обличчя перед прийомом їжі;</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Наявність власної чашки, ложки (бажано);</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Щоденний душ і прання речей (за потреби);</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 Воду, яка використовується в якості питної для чаю має бути кипяченою.</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 xml:space="preserve">2. Продовольче забезпечення</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Продовольче забезпечення Збройних Сил України (ЗСУ) є важливою складовою тилового забезпечення та безпосередньо впливає на боєздатність військ. Аналіз на основі відкритих джерел та нормативно-правових актів дозволяє оцінити ефективність організації харчування особового складу в мирний час та в умовах воєнного стану.</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 xml:space="preserve">Нормативно-правова база</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Наказ МОУ № 402 від 09.12.2002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 затвердження Положення про продовольче забезпечення Збройних Сил України на мирний час» . Цей документ регулює організацію харчування особового складу, визначає норми харчування, порядок обліку та зняття з продовольчого забезпечення. </w:t>
        <w:br w:type="textWrapping"/>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Наказ МОУ № 300 від 16.07.1997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 затвердження Положення про військове (корабельне) господарство Збройних Сил України» . Цей наказ визначає основи організації та ведення військового господарства, включаючи продовольче забезпечення. </w:t>
        <w:br w:type="textWrapping"/>
        <w:t xml:space="preserve">До Порядку застосування Каталогу військових частин — внесені зміни, що регулюють порядок зарахування та зняття з продовольчого забезпечення, а також можливість видачі наборів продуктів або грошової компенсації замість харчування в особливих умовах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 xml:space="preserve"> Системні зміни та реформи</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Система продовольчого забезпечення ЗСУ трансформувалася від моделі "аутсорсингу" до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централізованих закупівель через спеціалізоване державне підприємство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Каталог продуктів харчування: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Це одна з найважливіших реформ. Замість того, щоб отримувати фіксований набір продуктів, військові частини тепер можуть самостійно формувати меню, враховуючи сезонність, наявність продуктів та побажання особового складу. Цей підхід значно підвищив різноманітність та якість харчування.</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Перехід до "Державного оператора тилу" (ДОТ):</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Після корупційних скандалів, пов'язаних із закупівлями продуктів, Міністерство оборони створило ДОТ — спеціалізовану державну агенцію, яка взяла на себе функцію централізованого закупівлі продовольства.</w:t>
      </w:r>
    </w:p>
    <w:p w:rsidR="00000000" w:rsidDel="00000000" w:rsidP="00000000" w:rsidRDefault="00000000" w:rsidRPr="00000000" w14:paraId="0000002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Мета ДОТ:</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Збільшити прозорість закупівель, уникнути корупції, забезпечити безперебійне постачання якісних продуктів за оптимальними цінами.</w:t>
      </w:r>
    </w:p>
    <w:p w:rsidR="00000000" w:rsidDel="00000000" w:rsidP="00000000" w:rsidRDefault="00000000" w:rsidRPr="00000000" w14:paraId="0000002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Принципи роботи: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ДОТ укладає контракти з постачальниками на тривалі періоди, аналізує ринок і ціни, а також контролює логістику. Заявки на харчування формуються військовими частинами на основі Каталогу.</w:t>
      </w:r>
    </w:p>
    <w:p w:rsidR="00000000" w:rsidDel="00000000" w:rsidP="00000000" w:rsidRDefault="00000000" w:rsidRPr="00000000" w14:paraId="0000002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Результати: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Запуск ДОТ мав на меті стабілізувати ціни та забезпечити постійну наявність продуктів. Проте, як показують відкриті джерела, цей процес не був безпроблемним.</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Типи та норми харчування</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Система продовольчого забезпечення передбачає кілька типів харчування, залежно від умов служби:</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Стаціонарне харчування: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Забезпечується у стаціонарних їдальнях військових частин. Меню складається на основі Каталогу продуктів.</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Польове харчування: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Організовується в умовах, коли немає можливості користуватися стаціонарними їдальнями. Для цього використовуються польові кухні, а також готові до вживання пайки.</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Індивідуальні раціони харчування (ІРХ):</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Використовуються в умовах, коли немає можливості приготувати гарячу їжу (бойові дії, марші, патрулювання).</w:t>
      </w:r>
    </w:p>
    <w:p w:rsidR="00000000" w:rsidDel="00000000" w:rsidP="00000000" w:rsidRDefault="00000000" w:rsidRPr="00000000" w14:paraId="0000002F">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ІРХ (добовий):</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Забезпечує повноцінне харчування на добу з мінімальною енергетичною цінністю 3500 ккал.</w:t>
      </w:r>
    </w:p>
    <w:p w:rsidR="00000000" w:rsidDel="00000000" w:rsidP="00000000" w:rsidRDefault="00000000" w:rsidRPr="00000000" w14:paraId="0000003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spacing w:after="0" w:before="0" w:line="240" w:lineRule="auto"/>
        <w:ind w:left="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Проміжні індивідуальні раціони харчування (ПІРХ) або сухпайки: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Розраховані на 3 прийоми їжі і використовуються для короткочасних потреб.</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Спеціалізовані норми: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Існують окремі норми харчування для військовослужбовців, що виконують особливі завдання (наприклад, льотний склад, моряки, військовослужбовці на лікуванні), а також для окремих категорій (курсанти, строковики).</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Продовольче забезпечення ЗСУ проходить шлях від застарілої радянської системи до сучасної, що базується на принципах прозорості та різноманітності. Ключові реформи, як-от впровадження Каталогу продуктів і створення Державного оператора тилу, є значними кроками вперед. Однак, в умовах війни, логістичні та якісні проблеми залишаються актуальними. Постійний контроль з боку громадськості, реформування системи закупівель та вдосконалення логістичних ланцюгів є необхідними для забезпечення наших захисників якісним і своєчасним харчуванням.</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Речове забезпечення</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Головним нормативним документом, що регулює систему речового забезпечення військовослужбовців Збройних Сил України та Державної спеціальної служби транспорту (ДССТ), є Наказ Міністерства оборони України від 29 квітня 2016 року № 232. Цей наказ, який постійно оновлюється, є фундаментальним елементом системи управління ЗСУ, що забезпечує військовослужбовців усім необхідним для успішного виконання завдань.</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Наказ № 232 є складним, багатокомпонентним документом, що включає детальні інструкції щодо організації, обліку, видачі та списання речового майна. Документ затверджує вимоги до якості, визначає номенклатуру майна, терміни його носіння, а також процедури контролю. Чітке виконання положень цього наказу є запорукою ефективного ведення військового обліку та забезпечення, що має вирішальне значення для загальної боєздатності армії. Динамічний характер наказу, що відображається в регулярних змінах (наприклад, редакція від 9 травня 2025 року), демонструє здатність системи адаптуватися до мінливих умов і поточних потреб.</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Згідно з чинним законодавством, речове майно поділяється на дві основні категорії:</w:t>
      </w:r>
    </w:p>
    <w:p w:rsidR="00000000" w:rsidDel="00000000" w:rsidP="00000000" w:rsidRDefault="00000000" w:rsidRPr="00000000" w14:paraId="0000003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Майно особистого користування: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Це предмети військової форми одягу, взуття та спорядження, які видаються військовослужбовцю у власне користування. До них належать, наприклад, повсякденна та польова форма, головні убори, білизна та інше.</w:t>
      </w:r>
    </w:p>
    <w:p w:rsidR="00000000" w:rsidDel="00000000" w:rsidP="00000000" w:rsidRDefault="00000000" w:rsidRPr="00000000" w14:paraId="0000003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Інвентарне майно: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Це майно, яке належить військовій частині і видається військовослужбовцю на певний строк експлуатації. Раніше до цієї категорії належав широкий перелік предметів, але згідно з останніми змінами, інвентарним речовим майном залишилися лише бронежилет і каска.</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Переведення більшості предметів, що раніше обліковувались як інвентарне майно, до категорії майна особистого користування або їх повне виключення з інвентарного обліку є знаковою системною зміною. В умовах повномасштабної війни, що характеризується високою інтенсивністю бойових дій та значними втратами й пошкодженнями спорядження, скрупульозний облік кожного предмета створював колосальне бюрократичне навантаження. Процеси списання, перевірки та поновлення запасів для тисяч одиниць майна відволікали особовий склад та уповільнювали логістичні потоки. Обмеження інвентарного майна двома найкритичнішими предметами індивідуального захисту — бронежилетом та каскою — дозволяє речовим службам зосередитися на ключових засобах безпеки. Ця трансформація також підвищує гнучкість системи, оскільки некритичні елементи тепер простіше замінювати або списувати без зайвих адміністративних процедур, що сприяє швидшому переозброєнню та відновленню боєздатності підрозділів.</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До 2014 року система речового забезпечення значною мірою ґрунтувалася на радянських підходах: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однотипна форма</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що не завжди відповідала сучасним вимогам, застарілі норми видачі та централізована, але часто неефективна логістика.</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 початком російської агресії у 2014 році, а особливо після 24 лютого 2022 року, відбувся різкий перехід до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моделі, що ґрунтується на стандартах НАТО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Це включає:</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Багатошаровий принцип одягу (ECWCS — Extended Cold Weather Clothing System):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Замість одного громіздкого зимового комплекту, військовослужбовцям видають кілька шарів одягу, які можна комбінувати залежно від погодних умов:</w:t>
      </w:r>
    </w:p>
    <w:p w:rsidR="00000000" w:rsidDel="00000000" w:rsidP="00000000" w:rsidRDefault="00000000" w:rsidRPr="00000000" w14:paraId="0000003E">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Базовий шар:</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термобілизна (відводить вологу).</w:t>
      </w:r>
    </w:p>
    <w:p w:rsidR="00000000" w:rsidDel="00000000" w:rsidP="00000000" w:rsidRDefault="00000000" w:rsidRPr="00000000" w14:paraId="0000003F">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Утеплювальний шар:</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флісові кофти.</w:t>
      </w:r>
    </w:p>
    <w:p w:rsidR="00000000" w:rsidDel="00000000" w:rsidP="00000000" w:rsidRDefault="00000000" w:rsidRPr="00000000" w14:paraId="00000040">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Захисний шар:</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вітро- та вологозахисні куртки.</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Використання сучасних матеріалів:</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Відмова від бавовни на користь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синтетичних та комбінованих тканин</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(наприклад, Rip-Stop, мембранні тканини), які є більш зносостійкими, легкими, швидко сохнуть та мають кращі захисні властивості.</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Впровадження нових елементів:</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Введення в стандартний набір таких предметів, як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бойова сорочка</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combat shirt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для носіння під бронежилетом,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балістичні окуляри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тактичні наколінники та налокітники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що значно підвищує комфорт та захист.</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Останні зміни до Наказу № 232, зокрема ті, що були внесені Наказом Міністерства оборони України № 654 від 1 жовтня 2024 року, демонструють постійну адаптацію системи речового забезпечення до сучасних реалій.</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Ключові нововведення включають:</w:t>
      </w:r>
    </w:p>
    <w:p w:rsidR="00000000" w:rsidDel="00000000" w:rsidP="00000000" w:rsidRDefault="00000000" w:rsidRPr="00000000" w14:paraId="00000045">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Уніфікація стандартів:</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Норми речового забезпечення ЗСУ тепер поширені й на військовослужбовців Державної спеціальної служби транспорту (ДССТ), що свідчить про уніфікацію стандартів для різних військових формувань.</w:t>
      </w:r>
    </w:p>
    <w:p w:rsidR="00000000" w:rsidDel="00000000" w:rsidP="00000000" w:rsidRDefault="00000000" w:rsidRPr="00000000" w14:paraId="00000046">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Нові предмети: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До загальновійськової Норми № 1 додано нові предмети, що відображають зміни в підходах до забезпечення. Це, наприклад, сумка адміністративна, а також жіночі труси та топ. Ці зміни є частиною гендерної адаптації та політики, спрямованої на забезпечення комфорту та потреб усіх військовослужбовців.</w:t>
      </w:r>
    </w:p>
    <w:p w:rsidR="00000000" w:rsidDel="00000000" w:rsidP="00000000" w:rsidRDefault="00000000" w:rsidRPr="00000000" w14:paraId="0000004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Нова категорія забезпечення: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Впроваджено нову, 5-ту, категорію забезпечення для військовослужбовців під час особливого періоду або воєнного стану. Ця категорія дозволяє більш гнучко та оперативно реагувати на невідкладні потреби, що виникають в умовах бойових дій.</w:t>
      </w:r>
    </w:p>
    <w:p w:rsidR="00000000" w:rsidDel="00000000" w:rsidP="00000000" w:rsidRDefault="00000000" w:rsidRPr="00000000" w14:paraId="0000004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Оновлені норми: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Наказ № 654 деталізує перелік предметів бойового обмундирування та екіпірування, а також встановлює терміни їх експлуатації. Наприклад, для деяких категорій військовослужбовців строк носіння зимової вітровологозахисної куртки та штанів, а також костюма-утеплювача, може бути продовжено на два роки.</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Система обліку також була спрощена. Якщо раніше майно обліковувалося переважно за військовою частиною, то зараз більшість предметів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закріплюється за конкретним військовослужбовцем</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Це спрощує процедури переведення, списання та отримання нових комплектів.</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Зміни також торкнулися й нормування. Замість однієї загальної норми для всіх військових, існують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окремі норми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для сухопутних військ, Сил спеціальних операцій, Десантно-штурмових військ, тощо, що враховують специфіку їхньої служби.</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Основним майбутнім напрямком, що обговорюється, є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електронний облік та можливість вибору</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Це може включати:</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Цифровізація обліку:</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Впровадження електронних систем для відстеження видачі та списання майна для кожного військовослужбовця.</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Накопичувальна" система:</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Надання військовим електронних сертифікатів або грошових коштів для самостійного придбання частини спорядження у авторизованих постачальників. Це може стимулювати конкуренцію та дати військовим більшу гнучкість у виборі.</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Загалом, система речового забезпечення ЗСУ проходить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трансформацію від "армії радянського зразка" до сучасної, гнучкої та ефективної армії</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здатної забезпечити своїх військовослужбовців якісним та функціональним спорядженням в умовах повномасштабної війни.</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Підведення підсумків заняття.</w:t>
      </w:r>
    </w:p>
    <w:p w:rsidR="00000000" w:rsidDel="00000000" w:rsidP="00000000" w:rsidRDefault="00000000" w:rsidRPr="00000000" w14:paraId="00000051">
      <w:pPr>
        <w:ind w:firstLine="360"/>
        <w:jc w:val="both"/>
        <w:rPr/>
      </w:pPr>
      <w:r w:rsidDel="00000000" w:rsidR="00000000" w:rsidRPr="00000000">
        <w:rPr>
          <w:rtl w:val="0"/>
        </w:rPr>
        <w:t xml:space="preserve">Проведення дебрифінгу, під час якого керівник визначає ступінь вивчення військовослужбовцями викладеного матеріалу. </w:t>
      </w:r>
    </w:p>
    <w:p w:rsidR="00000000" w:rsidDel="00000000" w:rsidP="00000000" w:rsidRDefault="00000000" w:rsidRPr="00000000" w14:paraId="00000052">
      <w:pPr>
        <w:ind w:firstLine="360"/>
        <w:jc w:val="both"/>
        <w:rPr/>
      </w:pPr>
      <w:r w:rsidDel="00000000" w:rsidR="00000000" w:rsidRPr="00000000">
        <w:rPr>
          <w:rtl w:val="0"/>
        </w:rPr>
        <w:t xml:space="preserve">Військовослужбовці беруть активну участь у проведенні дебрифінгу: відповідають на запитання керівника, зосереджують увагу на важливих рекомендаціях керівника щодо засвоєного матеріалу. </w:t>
      </w:r>
    </w:p>
    <w:sectPr>
      <w:pgSz w:h="16838" w:w="11906" w:orient="portrait"/>
      <w:pgMar w:bottom="567" w:top="567"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4">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5">
    <w:lvl w:ilvl="0">
      <w:start w:val="3"/>
      <w:numFmt w:val="decimal"/>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List Paragraph"/>
    <w:basedOn w:val="a"/>
    <w:uiPriority w:val="34"/>
    <w:qFormat w:val="1"/>
    <w:rsid w:val="00D561C2"/>
    <w:pPr>
      <w:widowControl w:val="0"/>
      <w:autoSpaceDE w:val="0"/>
      <w:autoSpaceDN w:val="0"/>
      <w:adjustRightInd w:val="0"/>
      <w:ind w:left="720"/>
      <w:contextualSpacing w:val="1"/>
    </w:pPr>
    <w:rPr>
      <w:sz w:val="20"/>
      <w:szCs w:val="20"/>
      <w:lang w:eastAsia="uk-UA"/>
    </w:rPr>
  </w:style>
  <w:style w:type="paragraph" w:styleId="western" w:customStyle="1">
    <w:name w:val="western"/>
    <w:basedOn w:val="a"/>
    <w:uiPriority w:val="99"/>
    <w:semiHidden w:val="1"/>
    <w:rsid w:val="0055050B"/>
    <w:pPr>
      <w:spacing w:after="100" w:afterAutospacing="1" w:before="100" w:beforeAutospacing="1"/>
    </w:pPr>
    <w:rPr>
      <w:lang w:val="ru-RU"/>
    </w:rPr>
  </w:style>
  <w:style w:type="character" w:styleId="1" w:customStyle="1">
    <w:name w:val="Основной текст1"/>
    <w:rsid w:val="0055050B"/>
    <w:rPr>
      <w:sz w:val="18"/>
      <w:szCs w:val="18"/>
      <w:lang w:bidi="ar-SA"/>
    </w:rPr>
  </w:style>
  <w:style w:type="paragraph" w:styleId="Default" w:customStyle="1">
    <w:name w:val="Default"/>
    <w:rsid w:val="0055050B"/>
    <w:pPr>
      <w:autoSpaceDE w:val="0"/>
      <w:autoSpaceDN w:val="0"/>
      <w:adjustRightInd w:val="0"/>
      <w:spacing w:after="0" w:line="240" w:lineRule="auto"/>
    </w:pPr>
    <w:rPr>
      <w:rFonts w:ascii="Arial Black" w:cs="Arial Black" w:eastAsia="Calibri" w:hAnsi="Arial Black"/>
      <w:color w:val="000000"/>
      <w:sz w:val="24"/>
      <w:szCs w:val="24"/>
      <w:lang w:val="ru-RU"/>
    </w:rPr>
  </w:style>
  <w:style w:type="paragraph" w:styleId="Pa17" w:customStyle="1">
    <w:name w:val="Pa17"/>
    <w:basedOn w:val="Default"/>
    <w:next w:val="Default"/>
    <w:uiPriority w:val="99"/>
    <w:rsid w:val="0055050B"/>
    <w:pPr>
      <w:spacing w:line="221" w:lineRule="atLeast"/>
    </w:pPr>
    <w:rPr>
      <w:rFonts w:cs="Times New Roman"/>
      <w:color w:val="auto"/>
    </w:rPr>
  </w:style>
  <w:style w:type="paragraph" w:styleId="21" w:customStyle="1">
    <w:name w:val="Абзац списку2"/>
    <w:basedOn w:val="a"/>
    <w:rsid w:val="0055050B"/>
    <w:pPr>
      <w:ind w:left="720"/>
      <w:contextualSpacing w:val="1"/>
    </w:pPr>
    <w:rPr>
      <w:rFonts w:eastAsia="Calibri"/>
    </w:rPr>
  </w:style>
  <w:style w:type="paragraph" w:styleId="a4">
    <w:name w:val="Normal (Web)"/>
    <w:basedOn w:val="a"/>
    <w:uiPriority w:val="99"/>
    <w:semiHidden w:val="1"/>
    <w:unhideWhenUsed w:val="1"/>
    <w:rsid w:val="00C55550"/>
  </w:style>
  <w:style w:type="character" w:styleId="20" w:customStyle="1">
    <w:name w:val="Заголовок 2 Знак"/>
    <w:basedOn w:val="a0"/>
    <w:link w:val="2"/>
    <w:uiPriority w:val="9"/>
    <w:semiHidden w:val="1"/>
    <w:rsid w:val="00524EE6"/>
    <w:rPr>
      <w:rFonts w:asciiTheme="majorHAnsi" w:cstheme="majorBidi" w:eastAsiaTheme="majorEastAsia" w:hAnsiTheme="majorHAnsi"/>
      <w:color w:val="2f5496" w:themeColor="accent1" w:themeShade="0000BF"/>
      <w:sz w:val="26"/>
      <w:szCs w:val="26"/>
      <w:lang w:eastAsia="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aPKtf95Yp+zP6aSAwaHSn87k2g==">CgMxLjAyDmgubmF0amFpeXdsaW0xOAByITEzRlZQQzVXQXVYR0tuQWltaGVmMlZ1OG0wb2FhZWkwcQ==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2024-10-09T07:05:00Z</dcterms:created>
  <dc:creator>Політанський</dc:creator>
</cp:coreProperties>
</file>